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F65F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R4-2601847</w:t>
      </w:r>
      <w:bookmarkStart w:id="5" w:name="_GoBack"/>
      <w:bookmarkEnd w:id="5"/>
      <w:r>
        <w:rPr>
          <w:rFonts w:hint="eastAsia" w:ascii="Arial" w:hAnsi="Arial" w:cs="Arial"/>
          <w:b/>
          <w:sz w:val="24"/>
          <w:szCs w:val="24"/>
        </w:rPr>
        <w:t xml:space="preserve">                       </w:t>
      </w:r>
    </w:p>
    <w:p w14:paraId="463BDD48">
      <w:pPr>
        <w:jc w:val="left"/>
        <w:rPr>
          <w:rFonts w:hint="eastAsia" w:ascii="Arial" w:hAnsi="Arial" w:eastAsia="宋体" w:cs="Arial"/>
          <w:b/>
          <w:sz w:val="24"/>
          <w:szCs w:val="24"/>
          <w:highlight w:val="none"/>
          <w:lang w:val="en-US" w:eastAsia="zh-CN"/>
        </w:rPr>
      </w:pPr>
      <w:r>
        <w:rPr>
          <w:rFonts w:hint="eastAsia" w:ascii="Arial" w:hAnsi="Arial"/>
          <w:b/>
          <w:sz w:val="24"/>
        </w:rPr>
        <w:t>Gothenburg</w:t>
      </w:r>
      <w:r>
        <w:rPr>
          <w:rFonts w:hint="eastAsia" w:ascii="Arial" w:hAnsi="Arial" w:cs="Arial"/>
          <w:b/>
          <w:sz w:val="24"/>
          <w:szCs w:val="24"/>
          <w:highlight w:val="none"/>
          <w:lang w:val="en-US" w:eastAsia="zh-CN"/>
        </w:rPr>
        <w:t>,</w:t>
      </w:r>
      <w:r>
        <w:rPr>
          <w:rFonts w:ascii="Arial" w:hAnsi="Arial" w:cs="Arial"/>
          <w:b/>
          <w:sz w:val="24"/>
          <w:szCs w:val="24"/>
          <w:highlight w:val="none"/>
        </w:rPr>
        <w:t xml:space="preserve"> </w:t>
      </w:r>
      <w:r>
        <w:rPr>
          <w:rFonts w:hint="eastAsia" w:ascii="Arial" w:hAnsi="Arial" w:cs="Arial"/>
          <w:b/>
          <w:sz w:val="24"/>
          <w:szCs w:val="24"/>
          <w:highlight w:val="none"/>
          <w:lang w:val="en-US" w:eastAsia="zh-CN"/>
        </w:rPr>
        <w:t>SE</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09</w:t>
      </w:r>
      <w:r>
        <w:rPr>
          <w:rFonts w:ascii="Arial" w:hAnsi="Arial" w:cs="Arial"/>
          <w:b/>
          <w:sz w:val="24"/>
          <w:szCs w:val="24"/>
          <w:highlight w:val="none"/>
        </w:rPr>
        <w:t>th</w:t>
      </w:r>
      <w:r>
        <w:rPr>
          <w:rFonts w:hint="eastAsia" w:ascii="Arial" w:hAnsi="Arial" w:cs="Arial"/>
          <w:b/>
          <w:sz w:val="24"/>
          <w:szCs w:val="24"/>
          <w:highlight w:val="none"/>
        </w:rPr>
        <w:t xml:space="preserve"> </w:t>
      </w:r>
      <w:r>
        <w:rPr>
          <w:rFonts w:ascii="Arial" w:hAnsi="Arial" w:cs="Arial"/>
          <w:b/>
          <w:sz w:val="24"/>
          <w:szCs w:val="24"/>
          <w:highlight w:val="none"/>
        </w:rPr>
        <w:t xml:space="preserve">– </w:t>
      </w:r>
      <w:r>
        <w:rPr>
          <w:rFonts w:hint="eastAsia" w:ascii="Arial" w:hAnsi="Arial" w:cs="Arial"/>
          <w:b/>
          <w:sz w:val="24"/>
          <w:szCs w:val="24"/>
          <w:highlight w:val="none"/>
          <w:lang w:val="en-US" w:eastAsia="zh-CN"/>
        </w:rPr>
        <w:t>13rd</w:t>
      </w:r>
      <w:r>
        <w:rPr>
          <w:rFonts w:ascii="Arial" w:hAnsi="Arial" w:cs="Arial"/>
          <w:b/>
          <w:sz w:val="24"/>
          <w:szCs w:val="24"/>
          <w:highlight w:val="none"/>
        </w:rPr>
        <w:t xml:space="preserve">, </w:t>
      </w:r>
      <w:r>
        <w:rPr>
          <w:rFonts w:hint="eastAsia" w:ascii="Arial" w:hAnsi="Arial" w:cs="Arial"/>
          <w:b/>
          <w:sz w:val="24"/>
          <w:szCs w:val="24"/>
          <w:highlight w:val="none"/>
          <w:lang w:val="en-US" w:eastAsia="zh-CN"/>
        </w:rPr>
        <w:t>Feb</w:t>
      </w:r>
      <w:r>
        <w:rPr>
          <w:rFonts w:hint="eastAsia" w:ascii="Arial" w:hAnsi="Arial" w:cs="Arial"/>
          <w:b/>
          <w:sz w:val="24"/>
          <w:szCs w:val="24"/>
          <w:highlight w:val="none"/>
        </w:rPr>
        <w:t xml:space="preserve">. </w:t>
      </w:r>
      <w:r>
        <w:rPr>
          <w:rFonts w:ascii="Arial" w:hAnsi="Arial" w:cs="Arial"/>
          <w:b/>
          <w:sz w:val="24"/>
          <w:szCs w:val="24"/>
          <w:highlight w:val="none"/>
        </w:rPr>
        <w:t>202</w:t>
      </w:r>
      <w:r>
        <w:rPr>
          <w:rFonts w:hint="eastAsia" w:ascii="Arial" w:hAnsi="Arial" w:cs="Arial"/>
          <w:b/>
          <w:sz w:val="24"/>
          <w:szCs w:val="24"/>
          <w:highlight w:val="none"/>
          <w:lang w:val="en-US" w:eastAsia="zh-CN"/>
        </w:rPr>
        <w:t>6</w:t>
      </w:r>
    </w:p>
    <w:p w14:paraId="23FEB4C3">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8.4.5</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734C9C6">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 6GR U6GHz conformance testing</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035304E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In the RAN#108 meeting, a new WID on Study on 6G Radio [1] was approved. In the last RAN4 meeting, there were some initial discussions on 6G NR BS RF requirement and agreements were captured in WF [8]. In this contribution, we would like to share some further understandings on 6GR U6GHz conformance testing and TRP measurement in 6GR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33BEB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5E3AD121">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Objective:</w:t>
            </w:r>
          </w:p>
          <w:p w14:paraId="33BC40F9">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5681B37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179F52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50C8C04">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2439F39A">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55EF288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12303400">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14:paraId="4DD08B32">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14:paraId="49873A44">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Issue 1-1-1: Starting point</w:t>
            </w:r>
          </w:p>
          <w:p w14:paraId="49873A45">
            <w:pPr>
              <w:keepNext w:val="0"/>
              <w:keepLines w:val="0"/>
              <w:suppressLineNumbers w:val="0"/>
              <w:spacing w:before="0" w:beforeAutospacing="0" w:after="120" w:afterAutospacing="0"/>
              <w:ind w:left="0" w:right="0"/>
              <w:rPr>
                <w:rFonts w:hint="default"/>
                <w:b/>
                <w:bCs/>
                <w:szCs w:val="22"/>
                <w:lang w:val="zh-CN"/>
              </w:rPr>
            </w:pPr>
            <w:r>
              <w:rPr>
                <w:rFonts w:hint="default"/>
                <w:b/>
                <w:bCs/>
                <w:szCs w:val="22"/>
                <w:lang w:val="zh-CN"/>
              </w:rPr>
              <w:t xml:space="preserve">Agreement: </w:t>
            </w:r>
          </w:p>
          <w:p w14:paraId="49873A46">
            <w:pPr>
              <w:keepNext w:val="0"/>
              <w:keepLines w:val="0"/>
              <w:suppressLineNumbers w:val="0"/>
              <w:spacing w:before="0" w:beforeAutospacing="0" w:after="120" w:afterAutospacing="0"/>
              <w:ind w:left="0" w:right="0" w:firstLine="284"/>
              <w:rPr>
                <w:rFonts w:hint="default"/>
                <w:szCs w:val="22"/>
                <w:lang w:val="en-US"/>
              </w:rPr>
            </w:pPr>
            <w:r>
              <w:rPr>
                <w:rFonts w:hint="default"/>
                <w:szCs w:val="22"/>
                <w:lang w:val="en-US"/>
              </w:rPr>
              <w:t>5G BS RF requirements should be considered as starting point when defining the 6G BS RF</w:t>
            </w:r>
            <w:r>
              <w:rPr>
                <w:rFonts w:hint="eastAsia"/>
                <w:szCs w:val="22"/>
                <w:lang w:val="en-US" w:eastAsia="zh-CN"/>
              </w:rPr>
              <w:t xml:space="preserve"> </w:t>
            </w:r>
            <w:r>
              <w:rPr>
                <w:rFonts w:hint="default"/>
                <w:szCs w:val="22"/>
                <w:lang w:val="en-US"/>
              </w:rPr>
              <w:t>requirements.</w:t>
            </w:r>
          </w:p>
          <w:p w14:paraId="49873A47">
            <w:pPr>
              <w:keepNext w:val="0"/>
              <w:keepLines w:val="0"/>
              <w:suppressLineNumbers w:val="0"/>
              <w:spacing w:before="0" w:beforeAutospacing="0" w:after="120" w:afterAutospacing="0"/>
              <w:ind w:left="0" w:right="0"/>
              <w:rPr>
                <w:rFonts w:hint="default" w:eastAsia="PMingLiU"/>
                <w:sz w:val="22"/>
                <w:szCs w:val="22"/>
                <w:lang w:val="en-US"/>
              </w:rPr>
            </w:pPr>
          </w:p>
          <w:p w14:paraId="49873A48">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1-1-2: Requirements to be re-assessed</w:t>
            </w:r>
          </w:p>
          <w:p w14:paraId="49873A49">
            <w:pPr>
              <w:keepNext w:val="0"/>
              <w:keepLines w:val="0"/>
              <w:suppressLineNumbers w:val="0"/>
              <w:spacing w:before="0" w:beforeAutospacing="0" w:after="120" w:afterAutospacing="0"/>
              <w:ind w:left="0" w:right="0"/>
              <w:rPr>
                <w:rFonts w:hint="default" w:eastAsia="Yu Mincho"/>
                <w:szCs w:val="22"/>
                <w:lang w:val="en-US"/>
              </w:rPr>
            </w:pPr>
            <w:r>
              <w:rPr>
                <w:rFonts w:hint="default" w:eastAsia="Yu Mincho"/>
                <w:b/>
                <w:bCs/>
                <w:szCs w:val="22"/>
                <w:lang w:val="en-US"/>
              </w:rPr>
              <w:t>Way Forward:</w:t>
            </w:r>
            <w:r>
              <w:rPr>
                <w:rFonts w:hint="default" w:eastAsia="Yu Mincho"/>
                <w:szCs w:val="22"/>
                <w:lang w:val="en-US"/>
              </w:rPr>
              <w:t xml:space="preserve"> </w:t>
            </w:r>
          </w:p>
          <w:p w14:paraId="49873A4A">
            <w:pPr>
              <w:keepNext w:val="0"/>
              <w:keepLines w:val="0"/>
              <w:suppressLineNumbers w:val="0"/>
              <w:spacing w:before="0" w:beforeAutospacing="0" w:after="120" w:afterAutospacing="0"/>
              <w:ind w:left="284" w:right="0"/>
              <w:rPr>
                <w:rFonts w:hint="default"/>
                <w:szCs w:val="22"/>
                <w:lang w:val="en-US"/>
              </w:rPr>
            </w:pPr>
            <w:r>
              <w:rPr>
                <w:rFonts w:hint="default"/>
                <w:szCs w:val="22"/>
                <w:lang w:val="en-US"/>
              </w:rPr>
              <w:t>For next meeting, companies are encouraged to evaluate how 5G BS RF requirements should be considered for 6G and provide their view using the table in Annex A as example.</w:t>
            </w:r>
          </w:p>
          <w:p w14:paraId="49873A4B">
            <w:pPr>
              <w:keepNext w:val="0"/>
              <w:keepLines w:val="0"/>
              <w:suppressLineNumbers w:val="0"/>
              <w:spacing w:before="0" w:beforeAutospacing="0" w:after="120" w:afterAutospacing="0"/>
              <w:ind w:left="284" w:right="0"/>
              <w:rPr>
                <w:rFonts w:hint="default"/>
                <w:szCs w:val="22"/>
                <w:lang w:val="en-US"/>
              </w:rPr>
            </w:pPr>
          </w:p>
          <w:p w14:paraId="49873A4C">
            <w:pPr>
              <w:keepNext w:val="0"/>
              <w:keepLines w:val="0"/>
              <w:suppressLineNumbers w:val="0"/>
              <w:spacing w:before="0" w:beforeAutospacing="0" w:after="60" w:afterAutospacing="0"/>
              <w:ind w:left="0" w:right="0"/>
              <w:rPr>
                <w:rFonts w:hint="default"/>
                <w:szCs w:val="22"/>
                <w:lang w:val="en-US"/>
              </w:rPr>
            </w:pPr>
            <w:r>
              <w:rPr>
                <w:rFonts w:hint="default"/>
                <w:szCs w:val="22"/>
                <w:lang w:val="en-US"/>
              </w:rPr>
              <w:t>Note: The goal is to identify:</w:t>
            </w:r>
          </w:p>
          <w:p w14:paraId="49873A4D">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that might also be applicable to 6G.</w:t>
            </w:r>
          </w:p>
          <w:p w14:paraId="49873A4E">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will need to be re-evaluated based on 6G system parameters but would not need a further study.</w:t>
            </w:r>
          </w:p>
          <w:p w14:paraId="49873A4F">
            <w:pPr>
              <w:pStyle w:val="37"/>
              <w:keepNext w:val="0"/>
              <w:keepLines w:val="0"/>
              <w:numPr>
                <w:ilvl w:val="0"/>
                <w:numId w:val="7"/>
              </w:numPr>
              <w:suppressLineNumbers w:val="0"/>
              <w:spacing w:before="0" w:beforeAutospacing="0" w:after="60" w:afterAutospacing="0"/>
              <w:ind w:right="0" w:firstLineChars="0"/>
              <w:rPr>
                <w:rFonts w:hint="default"/>
                <w:color w:val="0070C0"/>
                <w:sz w:val="22"/>
                <w:szCs w:val="28"/>
                <w:lang w:val="en-US" w:eastAsia="zh-CN"/>
              </w:rPr>
            </w:pPr>
            <w:r>
              <w:rPr>
                <w:rFonts w:hint="default"/>
                <w:szCs w:val="22"/>
                <w:lang w:val="en-US"/>
              </w:rPr>
              <w:t>5G requirements which should be further studied in the scope of the 6G SI, a prioritization might be made in next meeting.</w:t>
            </w:r>
          </w:p>
          <w:p w14:paraId="49873A50">
            <w:pPr>
              <w:keepNext w:val="0"/>
              <w:keepLines w:val="0"/>
              <w:suppressLineNumbers w:val="0"/>
              <w:spacing w:before="0" w:beforeAutospacing="0" w:afterAutospacing="0"/>
              <w:ind w:left="0" w:right="0"/>
              <w:rPr>
                <w:rFonts w:hint="default" w:ascii="Arial" w:hAnsi="Arial" w:eastAsia="Yu Mincho"/>
                <w:sz w:val="18"/>
                <w:lang w:val="en-US"/>
              </w:rPr>
            </w:pPr>
          </w:p>
          <w:p w14:paraId="49873A51">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Issue 1-2-1: BS type 1-H enhancement</w:t>
            </w:r>
          </w:p>
          <w:p w14:paraId="49873A52">
            <w:pPr>
              <w:keepNext w:val="0"/>
              <w:keepLines w:val="0"/>
              <w:suppressLineNumbers w:val="0"/>
              <w:spacing w:before="0" w:beforeAutospacing="0" w:after="120" w:afterAutospacing="0"/>
              <w:ind w:left="0" w:right="0"/>
              <w:rPr>
                <w:rFonts w:hint="default"/>
                <w:b/>
                <w:bCs/>
                <w:lang w:val="zh-CN"/>
              </w:rPr>
            </w:pPr>
            <w:r>
              <w:rPr>
                <w:rFonts w:hint="default" w:eastAsia="PMingLiU"/>
                <w:b/>
                <w:bCs/>
              </w:rPr>
              <w:t>A</w:t>
            </w:r>
            <w:r>
              <w:rPr>
                <w:rFonts w:hint="default"/>
                <w:b/>
                <w:bCs/>
                <w:lang w:val="zh-CN"/>
              </w:rPr>
              <w:t xml:space="preserve">greement: </w:t>
            </w:r>
          </w:p>
          <w:p w14:paraId="49873A53">
            <w:pPr>
              <w:keepNext w:val="0"/>
              <w:keepLines w:val="0"/>
              <w:suppressLineNumbers w:val="0"/>
              <w:spacing w:before="0" w:beforeAutospacing="0" w:after="120" w:afterAutospacing="0"/>
              <w:ind w:left="0" w:right="0"/>
              <w:rPr>
                <w:rFonts w:hint="default"/>
                <w:lang w:val="en-US"/>
              </w:rPr>
            </w:pPr>
            <w:r>
              <w:rPr>
                <w:rFonts w:hint="default"/>
                <w:lang w:val="en-US"/>
              </w:rPr>
              <w:t>BS Hybrid beamforming type of architecture shall be studied.</w:t>
            </w:r>
          </w:p>
          <w:p w14:paraId="58A3EEDF">
            <w:pPr>
              <w:keepNext w:val="0"/>
              <w:keepLines w:val="0"/>
              <w:suppressLineNumbers w:val="0"/>
              <w:spacing w:before="0" w:beforeAutospacing="0" w:after="120" w:afterAutospacing="0"/>
              <w:ind w:left="0" w:right="0"/>
              <w:rPr>
                <w:rFonts w:hint="default"/>
                <w:lang w:val="en-US"/>
              </w:rPr>
            </w:pPr>
          </w:p>
          <w:p w14:paraId="49873A54">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Requirements for cmWave bands</w:t>
            </w:r>
          </w:p>
          <w:p w14:paraId="49873A55">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en-US"/>
              </w:rPr>
              <w:t xml:space="preserve">Issue 1-3-3: Rx Requirements </w:t>
            </w:r>
          </w:p>
          <w:p w14:paraId="49873A56">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14:paraId="1D8A1D56">
            <w:pPr>
              <w:keepNext w:val="0"/>
              <w:keepLines w:val="0"/>
              <w:suppressLineNumbers w:val="0"/>
              <w:spacing w:before="0" w:beforeAutospacing="0" w:afterAutospacing="0"/>
              <w:ind w:left="284" w:right="0"/>
              <w:rPr>
                <w:rFonts w:hint="default"/>
                <w:color w:val="000000" w:themeColor="text1"/>
                <w:lang w:val="en-US" w:eastAsia="zh-CN"/>
                <w14:textFill>
                  <w14:solidFill>
                    <w14:schemeClr w14:val="tx1"/>
                  </w14:solidFill>
                </w14:textFill>
              </w:rPr>
            </w:pPr>
            <w:r>
              <w:rPr>
                <w:rFonts w:hint="default"/>
                <w:szCs w:val="22"/>
                <w:lang w:val="en-US"/>
              </w:rPr>
              <w:t>For above 7 GHz, further study how BS Rx requirements should be specified, using FR2 approach or not</w:t>
            </w:r>
            <w:r>
              <w:rPr>
                <w:rFonts w:hint="default"/>
                <w:szCs w:val="22"/>
                <w:lang w:val="en-US" w:eastAsia="zh-CN"/>
              </w:rPr>
              <w:t xml:space="preserve">, including </w:t>
            </w:r>
            <w:r>
              <w:rPr>
                <w:rFonts w:hint="default"/>
                <w:szCs w:val="22"/>
                <w:lang w:val="en-US"/>
              </w:rPr>
              <w:t xml:space="preserve">if blocking should be specified based on FR2 methodology. </w:t>
            </w:r>
          </w:p>
        </w:tc>
      </w:tr>
    </w:tbl>
    <w:p w14:paraId="008DBA85">
      <w:pPr>
        <w:pStyle w:val="58"/>
        <w:tabs>
          <w:tab w:val="left" w:pos="567"/>
          <w:tab w:val="clear" w:pos="1985"/>
        </w:tabs>
        <w:adjustRightInd w:val="0"/>
        <w:ind w:left="510" w:hanging="510"/>
        <w:rPr>
          <w:rFonts w:eastAsia="Times New Roman"/>
        </w:rPr>
      </w:pPr>
      <w:bookmarkStart w:id="1" w:name="OLE_LINK20"/>
      <w:bookmarkStart w:id="2" w:name="OLE_LINK13"/>
      <w:bookmarkStart w:id="3" w:name="OLE_LINK14"/>
      <w:bookmarkStart w:id="4" w:name="OLE_LINK10"/>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54C572A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2.1. Enhancement conformance testing for U6GHz EEIRP mask</w:t>
      </w:r>
    </w:p>
    <w:p w14:paraId="2A4BD95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val="0"/>
          <w:bCs w:val="0"/>
          <w:lang w:val="en-US" w:eastAsia="zh-CN"/>
        </w:rPr>
        <w:t>In the Rel-19, U6GHz EEIRP mask was introduced for NR BS and NCR with the following test beam distributed equally within the declared beam steer range as shown in Figure 2.1-1.</w:t>
      </w:r>
    </w:p>
    <w:p w14:paraId="43E87C1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m:oMathPara>
        <m:oMath>
          <m:r>
            <m:rPr/>
            <w:rPr>
              <w:rFonts w:ascii="Cambria Math" w:hAnsi="Cambria Math" w:cs="Arial"/>
              <w:color w:val="000000"/>
              <w:lang w:val="en-US"/>
            </w:rPr>
            <m:t>EEIRP</m:t>
          </m:r>
          <m:d>
            <m:dPr>
              <m:ctrlPr>
                <w:rPr>
                  <w:rFonts w:ascii="Cambria Math" w:hAnsi="Cambria Math" w:cs="Arial"/>
                  <w:i/>
                  <w:color w:val="000000"/>
                  <w:lang w:val="en-US"/>
                </w:rPr>
              </m:ctrlPr>
            </m:dPr>
            <m:e>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 xml:space="preserve"> , </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ctrlPr>
                <w:rPr>
                  <w:rFonts w:ascii="Cambria Math" w:hAnsi="Cambria Math" w:cs="Arial"/>
                  <w:i/>
                  <w:color w:val="000000"/>
                  <w:lang w:val="en-US"/>
                </w:rPr>
              </m:ctrlPr>
            </m:e>
          </m:d>
          <m:r>
            <m:rPr/>
            <w:rPr>
              <w:rFonts w:ascii="Cambria Math" w:hAnsi="Cambria Math" w:cs="Arial"/>
              <w:color w:val="000000"/>
              <w:lang w:val="en-US"/>
            </w:rPr>
            <m:t>=</m:t>
          </m:r>
          <m:f>
            <m:fPr>
              <m:ctrlPr>
                <w:rPr>
                  <w:rFonts w:ascii="Cambria Math" w:hAnsi="Cambria Math" w:eastAsia="Cambria"/>
                  <w:i/>
                  <w:iCs/>
                  <w:color w:val="000000"/>
                  <w:lang w:val="en-US"/>
                </w:rPr>
              </m:ctrlPr>
            </m:fPr>
            <m:num>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HHi</m:t>
                  </m:r>
                  <m:ctrlPr>
                    <w:rPr>
                      <w:rFonts w:ascii="Cambria Math" w:hAnsi="Cambria Math" w:eastAsia="Cambria"/>
                      <w:i/>
                      <w:color w:val="000000"/>
                      <w:lang w:val="en-US"/>
                    </w:rPr>
                  </m:ctrlPr>
                </m:sub>
              </m:sSub>
              <m:r>
                <m:rPr/>
                <w:rPr>
                  <w:rFonts w:ascii="Cambria Math" w:hAnsi="Cambria Math" w:eastAsia="Cambria"/>
                  <w:color w:val="000000"/>
                  <w:lang w:val="en-US"/>
                </w:rPr>
                <m:t>−</m:t>
              </m:r>
              <m:sSub>
                <m:sSubPr>
                  <m:ctrlPr>
                    <w:rPr>
                      <w:rFonts w:ascii="Cambria Math" w:hAnsi="Cambria Math" w:eastAsia="Cambria"/>
                      <w:i/>
                      <w:color w:val="000000"/>
                      <w:lang w:val="en-US"/>
                    </w:rPr>
                  </m:ctrlPr>
                </m:sSubPr>
                <m:e>
                  <m:r>
                    <m:rPr/>
                    <w:rPr>
                      <w:rFonts w:ascii="Cambria Math" w:hAnsi="Cambria Math" w:eastAsia="Cambria"/>
                      <w:color w:val="000000"/>
                      <w:lang w:val="en-US"/>
                    </w:rPr>
                    <m:t>θ</m:t>
                  </m:r>
                  <m:ctrlPr>
                    <w:rPr>
                      <w:rFonts w:ascii="Cambria Math" w:hAnsi="Cambria Math" w:eastAsia="Cambria"/>
                      <w:i/>
                      <w:color w:val="000000"/>
                      <w:lang w:val="en-US"/>
                    </w:rPr>
                  </m:ctrlPr>
                </m:e>
                <m:sub>
                  <m:r>
                    <m:rPr/>
                    <w:rPr>
                      <w:rFonts w:ascii="Cambria Math" w:hAnsi="Cambria Math" w:eastAsia="Cambria"/>
                      <w:color w:val="000000"/>
                      <w:lang w:val="en-US"/>
                    </w:rPr>
                    <m:t>HLi</m:t>
                  </m:r>
                  <m:ctrlPr>
                    <w:rPr>
                      <w:rFonts w:ascii="Cambria Math" w:hAnsi="Cambria Math" w:eastAsia="Cambria"/>
                      <w:i/>
                      <w:color w:val="000000"/>
                      <w:lang w:val="en-US"/>
                    </w:rPr>
                  </m:ctrlPr>
                </m:sub>
              </m:sSub>
              <m:r>
                <m:rPr/>
                <w:rPr>
                  <w:rFonts w:ascii="Cambria Math" w:hAnsi="Cambria Math" w:eastAsia="Cambria"/>
                  <w:color w:val="000000"/>
                  <w:lang w:val="en-US"/>
                </w:rPr>
                <m:t>)×</m:t>
              </m:r>
              <m:f>
                <m:fPr>
                  <m:ctrlPr>
                    <w:rPr>
                      <w:rFonts w:ascii="Cambria Math" w:hAnsi="Cambria Math" w:eastAsia="Cambria"/>
                      <w:i/>
                      <w:color w:val="000000"/>
                      <w:lang w:val="en-US"/>
                    </w:rPr>
                  </m:ctrlPr>
                </m:fPr>
                <m:num>
                  <m:r>
                    <m:rPr/>
                    <w:rPr>
                      <w:rFonts w:ascii="Cambria Math" w:hAnsi="Cambria Math" w:eastAsia="Cambria"/>
                      <w:color w:val="000000"/>
                      <w:lang w:val="en-US"/>
                    </w:rPr>
                    <m:t>π</m:t>
                  </m:r>
                  <m:ctrlPr>
                    <w:rPr>
                      <w:rFonts w:ascii="Cambria Math" w:hAnsi="Cambria Math" w:eastAsia="Cambria"/>
                      <w:i/>
                      <w:color w:val="000000"/>
                      <w:lang w:val="en-US"/>
                    </w:rPr>
                  </m:ctrlPr>
                </m:num>
                <m:den>
                  <m:r>
                    <m:rPr/>
                    <w:rPr>
                      <w:rFonts w:ascii="Cambria Math" w:hAnsi="Cambria Math" w:eastAsia="Cambria"/>
                      <w:color w:val="000000"/>
                      <w:lang w:val="en-US"/>
                    </w:rPr>
                    <m:t>180°</m:t>
                  </m:r>
                  <m:ctrlPr>
                    <w:rPr>
                      <w:rFonts w:ascii="Cambria Math" w:hAnsi="Cambria Math" w:eastAsia="Cambria"/>
                      <w:i/>
                      <w:color w:val="000000"/>
                      <w:lang w:val="en-US"/>
                    </w:rPr>
                  </m:ctrlPr>
                </m:den>
              </m:f>
              <m:ctrlPr>
                <w:rPr>
                  <w:rFonts w:ascii="Cambria Math" w:hAnsi="Cambria Math" w:eastAsia="Cambria"/>
                  <w:i/>
                  <w:iCs/>
                  <w:color w:val="000000"/>
                  <w:lang w:val="en-US"/>
                </w:rPr>
              </m:ctrlPr>
            </m:num>
            <m:den>
              <m:r>
                <m:rPr/>
                <w:rPr>
                  <w:rFonts w:ascii="Cambria Math" w:hAnsi="Cambria Math" w:cs="Arial"/>
                  <w:color w:val="000000"/>
                  <w:lang w:val="en-US"/>
                </w:rPr>
                <m:t>MN</m:t>
              </m:r>
              <m:d>
                <m:dPr>
                  <m:ctrlPr>
                    <w:rPr>
                      <w:rFonts w:ascii="Cambria Math" w:hAnsi="Cambria Math" w:eastAsia="Cambria"/>
                      <w:i/>
                      <w:iCs/>
                      <w:color w:val="000000"/>
                      <w:lang w:val="en-US"/>
                    </w:rPr>
                  </m:ctrlPr>
                </m:dPr>
                <m:e>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HHi</m:t>
                      </m:r>
                      <m:ctrlPr>
                        <w:rPr>
                          <w:rFonts w:ascii="Cambria Math" w:hAnsi="Cambria Math" w:eastAsia="Cambria"/>
                          <w:i/>
                          <w:iCs/>
                          <w:color w:val="000000"/>
                          <w:lang w:val="en-US"/>
                        </w:rPr>
                      </m:ctrlPr>
                    </m:sub>
                  </m:sSub>
                  <m:r>
                    <m:rPr/>
                    <w:rPr>
                      <w:rFonts w:ascii="Cambria Math" w:hAnsi="Cambria Math" w:cs="Arial"/>
                      <w:color w:val="000000"/>
                      <w:lang w:val="en-US"/>
                    </w:rPr>
                    <m:t>−sin</m:t>
                  </m:r>
                  <m:sSub>
                    <m:sSubPr>
                      <m:ctrlPr>
                        <w:rPr>
                          <w:rFonts w:ascii="Cambria Math" w:hAnsi="Cambria Math" w:eastAsia="Cambria"/>
                          <w:i/>
                          <w:iCs/>
                          <w:color w:val="000000"/>
                          <w:lang w:val="en-US"/>
                        </w:rPr>
                      </m:ctrlPr>
                    </m:sSubPr>
                    <m:e>
                      <m:r>
                        <m:rPr/>
                        <w:rPr>
                          <w:rFonts w:ascii="Cambria Math" w:hAnsi="Cambria Math" w:cs="Arial"/>
                          <w:color w:val="000000"/>
                          <w:lang w:val="en-US"/>
                        </w:rPr>
                        <m:t>θ</m:t>
                      </m:r>
                      <m:ctrlPr>
                        <w:rPr>
                          <w:rFonts w:ascii="Cambria Math" w:hAnsi="Cambria Math" w:eastAsia="Cambria"/>
                          <w:i/>
                          <w:iCs/>
                          <w:color w:val="000000"/>
                          <w:lang w:val="en-US"/>
                        </w:rPr>
                      </m:ctrlPr>
                    </m:e>
                    <m:sub>
                      <m:r>
                        <m:rPr/>
                        <w:rPr>
                          <w:rFonts w:ascii="Cambria Math" w:hAnsi="Cambria Math" w:cs="Arial"/>
                          <w:color w:val="000000"/>
                          <w:lang w:val="en-US"/>
                        </w:rPr>
                        <m:t>HLi</m:t>
                      </m:r>
                      <m:ctrlPr>
                        <w:rPr>
                          <w:rFonts w:ascii="Cambria Math" w:hAnsi="Cambria Math" w:eastAsia="Cambria"/>
                          <w:i/>
                          <w:iCs/>
                          <w:color w:val="000000"/>
                          <w:lang w:val="en-US"/>
                        </w:rPr>
                      </m:ctrlPr>
                    </m:sub>
                  </m:sSub>
                  <m:ctrlPr>
                    <w:rPr>
                      <w:rFonts w:ascii="Cambria Math" w:hAnsi="Cambria Math" w:eastAsia="Cambria"/>
                      <w:i/>
                      <w:iCs/>
                      <w:color w:val="000000"/>
                      <w:lang w:val="en-US"/>
                    </w:rPr>
                  </m:ctrlPr>
                </m:e>
              </m:d>
              <m:ctrlPr>
                <w:rPr>
                  <w:rFonts w:ascii="Cambria Math" w:hAnsi="Cambria Math" w:eastAsia="Cambria"/>
                  <w:i/>
                  <w:iCs/>
                  <w:color w:val="000000"/>
                  <w:lang w:val="en-US"/>
                </w:rPr>
              </m:ctrlPr>
            </m:den>
          </m:f>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n=</m:t>
              </m:r>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L</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b>
            <m:sup>
              <m:sSub>
                <m:sSubPr>
                  <m:ctrlPr>
                    <w:rPr>
                      <w:rFonts w:ascii="Cambria Math" w:hAnsi="Cambria Math" w:eastAsia="Cambria"/>
                      <w:i/>
                      <w:iCs/>
                      <w:color w:val="000000"/>
                      <w:lang w:val="en-US"/>
                    </w:rPr>
                  </m:ctrlPr>
                </m:sSubPr>
                <m:e>
                  <m:r>
                    <m:rPr/>
                    <w:rPr>
                      <w:rFonts w:ascii="Cambria Math" w:hAnsi="Cambria Math" w:eastAsia="Cambria"/>
                      <w:color w:val="000000"/>
                      <w:lang w:val="en-US"/>
                    </w:rPr>
                    <m:t>n</m:t>
                  </m:r>
                  <m:ctrlPr>
                    <w:rPr>
                      <w:rFonts w:ascii="Cambria Math" w:hAnsi="Cambria Math" w:eastAsia="Cambria"/>
                      <w:i/>
                      <w:iCs/>
                      <w:color w:val="000000"/>
                      <w:lang w:val="en-US"/>
                    </w:rPr>
                  </m:ctrlPr>
                </m:e>
                <m:sub>
                  <m:r>
                    <m:rPr/>
                    <w:rPr>
                      <w:rFonts w:ascii="Cambria Math" w:hAnsi="Cambria Math" w:eastAsia="Cambria"/>
                      <w:color w:val="000000"/>
                      <w:lang w:val="en-US"/>
                    </w:rPr>
                    <m:t>H</m:t>
                  </m:r>
                  <m:ctrlPr>
                    <w:rPr>
                      <w:rFonts w:ascii="Cambria Math" w:hAnsi="Cambria Math" w:eastAsia="Cambria"/>
                      <w:i/>
                      <w:iCs/>
                      <w:color w:val="000000"/>
                      <w:lang w:val="en-US"/>
                    </w:rPr>
                  </m:ctrlPr>
                </m:sub>
              </m:sSub>
              <m:ctrlPr>
                <w:rPr>
                  <w:rFonts w:ascii="Cambria Math" w:hAnsi="Cambria Math" w:eastAsia="Cambria"/>
                  <w:i/>
                  <w:iCs/>
                  <w:color w:val="000000"/>
                  <w:lang w:val="en-US"/>
                </w:rPr>
              </m:ctrlPr>
            </m:sup>
            <m:e>
              <m:nary>
                <m:naryPr>
                  <m:chr m:val="∑"/>
                  <m:limLoc m:val="subSup"/>
                  <m:ctrlPr>
                    <w:rPr>
                      <w:rFonts w:ascii="Cambria Math" w:hAnsi="Cambria Math" w:eastAsia="Cambria"/>
                      <w:i/>
                      <w:iCs/>
                      <w:color w:val="000000"/>
                      <w:lang w:val="en-US"/>
                    </w:rPr>
                  </m:ctrlPr>
                </m:naryPr>
                <m:sub>
                  <m:r>
                    <m:rPr/>
                    <w:rPr>
                      <w:rFonts w:ascii="Cambria Math" w:hAnsi="Cambria Math" w:eastAsia="Cambria"/>
                      <w:color w:val="000000"/>
                      <w:lang w:val="en-US"/>
                    </w:rPr>
                    <m:t>m=1</m:t>
                  </m:r>
                  <m:ctrlPr>
                    <w:rPr>
                      <w:rFonts w:ascii="Cambria Math" w:hAnsi="Cambria Math" w:eastAsia="Cambria"/>
                      <w:i/>
                      <w:iCs/>
                      <w:color w:val="000000"/>
                      <w:lang w:val="en-US"/>
                    </w:rPr>
                  </m:ctrlPr>
                </m:sub>
                <m:sup>
                  <m:r>
                    <m:rPr/>
                    <w:rPr>
                      <w:rFonts w:ascii="Cambria Math" w:hAnsi="Cambria Math" w:eastAsia="Cambria"/>
                      <w:color w:val="000000"/>
                      <w:lang w:val="en-US"/>
                    </w:rPr>
                    <m:t>M</m:t>
                  </m:r>
                  <m:ctrlPr>
                    <w:rPr>
                      <w:rFonts w:ascii="Cambria Math" w:hAnsi="Cambria Math" w:eastAsia="Cambria"/>
                      <w:i/>
                      <w:iCs/>
                      <w:color w:val="000000"/>
                      <w:lang w:val="en-US"/>
                    </w:rPr>
                  </m:ctrlPr>
                </m:sup>
                <m:e>
                  <m:acc>
                    <m:accPr>
                      <m:chr m:val="̅"/>
                      <m:ctrlPr>
                        <w:rPr>
                          <w:rFonts w:ascii="Cambria Math" w:hAnsi="Cambria Math" w:eastAsia="Cambria"/>
                          <w:i/>
                          <w:color w:val="000000"/>
                          <w:lang w:val="en-US"/>
                        </w:rPr>
                      </m:ctrlPr>
                    </m:accPr>
                    <m:e>
                      <m:r>
                        <m:rPr/>
                        <w:rPr>
                          <w:rFonts w:ascii="Cambria Math" w:hAnsi="Cambria Math" w:eastAsia="Cambria"/>
                          <w:color w:val="000000"/>
                          <w:lang w:val="en-US"/>
                        </w:rPr>
                        <m:t>EIRP</m:t>
                      </m:r>
                      <m:ctrlPr>
                        <w:rPr>
                          <w:rFonts w:ascii="Cambria Math" w:hAnsi="Cambria Math" w:eastAsia="Cambria"/>
                          <w:i/>
                          <w:color w:val="000000"/>
                          <w:lang w:val="en-US"/>
                        </w:rPr>
                      </m:ctrlPr>
                    </m:e>
                  </m:acc>
                  <m:d>
                    <m:dPr>
                      <m:ctrlPr>
                        <w:rPr>
                          <w:rFonts w:ascii="Cambria Math" w:hAnsi="Cambria Math" w:eastAsia="Cambria"/>
                          <w:i/>
                          <w:iCs/>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r>
                        <m:rPr/>
                        <w:rPr>
                          <w:rFonts w:ascii="Cambria Math" w:hAnsi="Cambria Math" w:cs="Arial"/>
                          <w:color w:val="000000"/>
                          <w:lang w:val="en-US"/>
                        </w:rPr>
                        <m:t>,</m:t>
                      </m:r>
                      <m:sSub>
                        <m:sSubPr>
                          <m:ctrlPr>
                            <w:rPr>
                              <w:rFonts w:ascii="Cambria Math" w:hAnsi="Cambria Math" w:cs="Arial"/>
                              <w:i/>
                              <w:color w:val="000000"/>
                              <w:lang w:val="en-US"/>
                            </w:rPr>
                          </m:ctrlPr>
                        </m:sSubPr>
                        <m:e>
                          <m:r>
                            <m:rPr/>
                            <w:rPr>
                              <w:rFonts w:ascii="Cambria Math" w:hAnsi="Cambria Math" w:cs="Arial"/>
                              <w:color w:val="000000"/>
                              <w:lang w:val="en-US"/>
                            </w:rPr>
                            <m:t>φ</m:t>
                          </m:r>
                          <m:ctrlPr>
                            <w:rPr>
                              <w:rFonts w:ascii="Cambria Math" w:hAnsi="Cambria Math" w:cs="Arial"/>
                              <w:i/>
                              <w:color w:val="000000"/>
                              <w:lang w:val="en-US"/>
                            </w:rPr>
                          </m:ctrlPr>
                        </m:e>
                        <m:sub>
                          <m:r>
                            <m:rPr/>
                            <w:rPr>
                              <w:rFonts w:ascii="Cambria Math" w:hAnsi="Cambria Math" w:cs="Arial"/>
                              <w:color w:val="000000"/>
                              <w:lang w:val="en-US"/>
                            </w:rPr>
                            <m:t>m</m:t>
                          </m:r>
                          <m:ctrlPr>
                            <w:rPr>
                              <w:rFonts w:ascii="Cambria Math" w:hAnsi="Cambria Math" w:cs="Arial"/>
                              <w:i/>
                              <w:color w:val="000000"/>
                              <w:lang w:val="en-US"/>
                            </w:rPr>
                          </m:ctrlPr>
                        </m:sub>
                      </m:sSub>
                      <m:ctrlPr>
                        <w:rPr>
                          <w:rFonts w:ascii="Cambria Math" w:hAnsi="Cambria Math" w:eastAsia="Cambria"/>
                          <w:i/>
                          <w:iCs/>
                          <w:color w:val="000000"/>
                          <w:lang w:val="en-US"/>
                        </w:rPr>
                      </m:ctrlPr>
                    </m:e>
                  </m:d>
                  <m:r>
                    <m:rPr/>
                    <w:rPr>
                      <w:rFonts w:ascii="Cambria Math" w:hAnsi="Cambria Math" w:cs="Arial"/>
                      <w:color w:val="000000"/>
                      <w:lang w:val="en-US"/>
                    </w:rPr>
                    <m:t xml:space="preserve"> cos</m:t>
                  </m:r>
                  <m:d>
                    <m:dPr>
                      <m:ctrlPr>
                        <w:rPr>
                          <w:rFonts w:ascii="Cambria Math" w:hAnsi="Cambria Math"/>
                          <w:i/>
                          <w:color w:val="000000"/>
                          <w:lang w:val="en-US"/>
                        </w:rPr>
                      </m:ctrlPr>
                    </m:dPr>
                    <m:e>
                      <m:sSub>
                        <m:sSubPr>
                          <m:ctrlPr>
                            <w:rPr>
                              <w:rFonts w:ascii="Cambria Math" w:hAnsi="Cambria Math" w:cs="Arial"/>
                              <w:i/>
                              <w:color w:val="000000"/>
                              <w:lang w:val="en-US"/>
                            </w:rPr>
                          </m:ctrlPr>
                        </m:sSubPr>
                        <m:e>
                          <m:r>
                            <m:rPr/>
                            <w:rPr>
                              <w:rFonts w:ascii="Cambria Math" w:hAnsi="Cambria Math" w:cs="Arial"/>
                              <w:color w:val="000000"/>
                              <w:lang w:val="en-US"/>
                            </w:rPr>
                            <m:t>θ</m:t>
                          </m:r>
                          <m:ctrlPr>
                            <w:rPr>
                              <w:rFonts w:ascii="Cambria Math" w:hAnsi="Cambria Math" w:cs="Arial"/>
                              <w:i/>
                              <w:color w:val="000000"/>
                              <w:lang w:val="en-US"/>
                            </w:rPr>
                          </m:ctrlPr>
                        </m:e>
                        <m:sub>
                          <m:r>
                            <m:rPr/>
                            <w:rPr>
                              <w:rFonts w:ascii="Cambria Math" w:hAnsi="Cambria Math" w:cs="Arial"/>
                              <w:color w:val="000000"/>
                              <w:lang w:val="en-US"/>
                            </w:rPr>
                            <m:t>n</m:t>
                          </m:r>
                          <m:ctrlPr>
                            <w:rPr>
                              <w:rFonts w:ascii="Cambria Math" w:hAnsi="Cambria Math" w:cs="Arial"/>
                              <w:i/>
                              <w:color w:val="000000"/>
                              <w:lang w:val="en-US"/>
                            </w:rPr>
                          </m:ctrlPr>
                        </m:sub>
                      </m:sSub>
                      <m:ctrlPr>
                        <w:rPr>
                          <w:rFonts w:ascii="Cambria Math" w:hAnsi="Cambria Math"/>
                          <w:i/>
                          <w:color w:val="000000"/>
                          <w:lang w:val="en-US"/>
                        </w:rPr>
                      </m:ctrlPr>
                    </m:e>
                  </m:d>
                  <m:ctrlPr>
                    <w:rPr>
                      <w:rFonts w:ascii="Cambria Math" w:hAnsi="Cambria Math" w:eastAsia="Cambria"/>
                      <w:i/>
                      <w:iCs/>
                      <w:color w:val="000000"/>
                      <w:lang w:val="en-US"/>
                    </w:rPr>
                  </m:ctrlPr>
                </m:e>
              </m:nary>
              <m:ctrlPr>
                <w:rPr>
                  <w:rFonts w:ascii="Cambria Math" w:hAnsi="Cambria Math" w:eastAsia="Cambria"/>
                  <w:i/>
                  <w:iCs/>
                  <w:color w:val="000000"/>
                  <w:lang w:val="en-US"/>
                </w:rPr>
              </m:ctrlPr>
            </m:e>
          </m:nary>
          <m:r>
            <m:rPr/>
            <w:rPr>
              <w:rFonts w:ascii="Cambria Math" w:hAnsi="Cambria Math" w:eastAsiaTheme="minorEastAsia"/>
              <w:color w:val="000000"/>
              <w:lang w:val="en-US"/>
            </w:rPr>
            <m:t xml:space="preserve">    ,      </m:t>
          </m:r>
        </m:oMath>
      </m:oMathPara>
    </w:p>
    <w:p w14:paraId="3CB12034">
      <w:pPr>
        <w:pStyle w:val="48"/>
        <w:jc w:val="center"/>
      </w:pPr>
      <w:r>
        <w:rPr>
          <w:b w:val="0"/>
        </w:rPr>
        <w:drawing>
          <wp:inline distT="0" distB="0" distL="0" distR="0">
            <wp:extent cx="4867275" cy="2126615"/>
            <wp:effectExtent l="0" t="0" r="0" b="6985"/>
            <wp:docPr id="15"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descr="IMG_256"/>
                    <pic:cNvPicPr>
                      <a:picLocks noChangeAspect="1"/>
                    </pic:cNvPicPr>
                  </pic:nvPicPr>
                  <pic:blipFill>
                    <a:blip r:embed="rId8"/>
                    <a:stretch>
                      <a:fillRect/>
                    </a:stretch>
                  </pic:blipFill>
                  <pic:spPr>
                    <a:xfrm>
                      <a:off x="0" y="0"/>
                      <a:ext cx="4902216" cy="2141665"/>
                    </a:xfrm>
                    <a:prstGeom prst="rect">
                      <a:avLst/>
                    </a:prstGeom>
                    <a:noFill/>
                    <a:ln w="9525">
                      <a:noFill/>
                    </a:ln>
                  </pic:spPr>
                </pic:pic>
              </a:graphicData>
            </a:graphic>
          </wp:inline>
        </w:drawing>
      </w:r>
    </w:p>
    <w:p w14:paraId="2D595664">
      <w:pPr>
        <w:jc w:val="center"/>
        <w:rPr>
          <w:rFonts w:hint="eastAsia"/>
          <w:lang w:val="en-US" w:eastAsia="zh-CN"/>
        </w:rPr>
      </w:pPr>
      <w:r>
        <w:rPr>
          <w:rFonts w:hint="eastAsia"/>
          <w:lang w:val="en-US" w:eastAsia="zh-CN"/>
        </w:rPr>
        <w:t xml:space="preserve">Table 2.1-1. The illustration of </w:t>
      </w:r>
      <w:r>
        <w:rPr>
          <w:lang w:val="en-US"/>
        </w:rPr>
        <w:t>test beam set</w:t>
      </w:r>
      <w:r>
        <w:rPr>
          <w:rFonts w:hint="eastAsia"/>
          <w:lang w:val="en-US" w:eastAsia="zh-CN"/>
        </w:rPr>
        <w:t xml:space="preserve"> for U6GHz BS EEIRP mask</w:t>
      </w:r>
    </w:p>
    <w:p w14:paraId="25E10A8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In the Rel-19, the test beams is equally assumed in the specification based on the assumptions of target serving UE also equally distributed within the geographical coverage regions, then the proposed test beam pattern could well mimic the actual BS operation mode. However this might be not always applicable considering the emerging new service (e.g. sensing service or UAV service in the near future to support the low altitude economy, eVTOL, express Delivery based UAV, other sensing use case) as shown in Figure 2.1-3.</w:t>
      </w:r>
    </w:p>
    <w:p w14:paraId="34CB84D8">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007745"/>
            <wp:effectExtent l="0" t="0" r="6985" b="190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6260465" cy="1007745"/>
                    </a:xfrm>
                    <a:prstGeom prst="rect">
                      <a:avLst/>
                    </a:prstGeom>
                    <a:noFill/>
                    <a:ln w="9525">
                      <a:noFill/>
                    </a:ln>
                  </pic:spPr>
                </pic:pic>
              </a:graphicData>
            </a:graphic>
          </wp:inline>
        </w:drawing>
      </w:r>
    </w:p>
    <w:p w14:paraId="02FB46A1">
      <w:pPr>
        <w:jc w:val="center"/>
        <w:rPr>
          <w:rFonts w:hint="eastAsia"/>
          <w:lang w:val="en-US" w:eastAsia="zh-CN"/>
        </w:rPr>
      </w:pPr>
      <w:r>
        <w:rPr>
          <w:rFonts w:hint="eastAsia"/>
          <w:lang w:val="en-US" w:eastAsia="zh-CN"/>
        </w:rPr>
        <w:t xml:space="preserve">Table </w:t>
      </w:r>
      <w:r>
        <w:rPr>
          <w:rFonts w:hint="eastAsia"/>
          <w:b w:val="0"/>
          <w:bCs w:val="0"/>
          <w:lang w:val="en-US" w:eastAsia="zh-CN"/>
        </w:rPr>
        <w:t>2.1-2</w:t>
      </w:r>
      <w:r>
        <w:rPr>
          <w:rFonts w:hint="eastAsia"/>
          <w:lang w:val="en-US" w:eastAsia="zh-CN"/>
        </w:rPr>
        <w:t>. The illustration of the operation beams equally distributed across different slots</w:t>
      </w:r>
    </w:p>
    <w:p w14:paraId="5C8537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val="0"/>
          <w:bCs w:val="0"/>
          <w:lang w:val="en-US" w:eastAsia="zh-CN"/>
        </w:rPr>
        <w:t xml:space="preserve">As shown in Figure 2.1-3, operation beam in red color in slot 2 in certain periodicity is intended to provide the service for sensing or UAV service, this is obvious that the weighting factor and probability of such kind of sensing/UAV beams is expected to be more sparse and different from the other communication beams. Therefore, for the conformance testing of U6GHz EEIRP mask in 6G phase, we </w:t>
      </w:r>
      <w:r>
        <w:rPr>
          <w:rFonts w:hint="eastAsia"/>
          <w:lang w:val="en-US" w:eastAsia="zh-CN"/>
        </w:rPr>
        <w:t>propose to consider the unequally distributed test beams across the whole coverage regions (e.g. 6GR BS need to provide the sensing or UAV service with periodic beams steering upwards) in addition to the equally distributed test beams in Rel-19.</w:t>
      </w:r>
    </w:p>
    <w:p w14:paraId="729AAA31">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260465" cy="1208405"/>
            <wp:effectExtent l="0" t="0" r="6985" b="11430"/>
            <wp:docPr id="1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descr="IMG_256"/>
                    <pic:cNvPicPr>
                      <a:picLocks noChangeAspect="1"/>
                    </pic:cNvPicPr>
                  </pic:nvPicPr>
                  <pic:blipFill>
                    <a:blip r:embed="rId10"/>
                    <a:stretch>
                      <a:fillRect/>
                    </a:stretch>
                  </pic:blipFill>
                  <pic:spPr>
                    <a:xfrm>
                      <a:off x="0" y="0"/>
                      <a:ext cx="6260465" cy="1208405"/>
                    </a:xfrm>
                    <a:prstGeom prst="rect">
                      <a:avLst/>
                    </a:prstGeom>
                    <a:noFill/>
                    <a:ln w="9525">
                      <a:noFill/>
                    </a:ln>
                  </pic:spPr>
                </pic:pic>
              </a:graphicData>
            </a:graphic>
          </wp:inline>
        </w:drawing>
      </w:r>
    </w:p>
    <w:p w14:paraId="38262805">
      <w:pPr>
        <w:jc w:val="center"/>
        <w:rPr>
          <w:rFonts w:hint="default"/>
          <w:lang w:val="en-US" w:eastAsia="zh-CN"/>
        </w:rPr>
      </w:pPr>
      <w:r>
        <w:rPr>
          <w:rFonts w:hint="eastAsia"/>
          <w:lang w:val="en-US" w:eastAsia="zh-CN"/>
        </w:rPr>
        <w:t>Table 2.1-3. The illustration of the operation beams unequally distributed across different slots (e.g. to provide the sensing or UAV service with periodic beams steering upwards)</w:t>
      </w:r>
      <m:oMath>
        <m:r>
          <m:rPr/>
          <w:rPr>
            <w:rFonts w:ascii="Cambria Math" w:hAnsi="Cambria Math" w:eastAsiaTheme="minorEastAsia"/>
            <w:color w:val="000000"/>
            <w:lang w:val="en-US"/>
          </w:rPr>
          <m:t xml:space="preserve">                 </m:t>
        </m:r>
      </m:oMath>
    </w:p>
    <w:p w14:paraId="37CC72E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r>
        <w:rPr>
          <w:rFonts w:hint="eastAsia"/>
          <w:b/>
          <w:bCs/>
          <w:highlight w:val="none"/>
          <w:lang w:val="en-US" w:eastAsia="zh-CN"/>
        </w:rPr>
        <w:t>Proposal 1</w:t>
      </w:r>
      <w:r>
        <w:rPr>
          <w:rFonts w:hint="eastAsia"/>
          <w:highlight w:val="none"/>
          <w:lang w:val="en-US" w:eastAsia="zh-CN"/>
        </w:rPr>
        <w:t>: For the conformance testing of U6GHz EEIRP mask in 6G, propose to consider the unequally distributed test beams across the whole coverage regions from the time domain (e.g. 6GR BS need to provide the sensing or UAV service with periodic beams steering upwards) in addition to the equally distributed test beams in Rel-19.</w:t>
      </w:r>
    </w:p>
    <w:p w14:paraId="14CA380F">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6974CCA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2.2. TRP test simplification</w:t>
      </w:r>
    </w:p>
    <w:p w14:paraId="63BA297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highlight w:val="none"/>
          <w:lang w:val="en-US" w:eastAsia="zh-CN"/>
        </w:rPr>
        <w:t>In Rel-15, for the TRP measurement, we introduced many different candidate options for the conformance testing, however these alternative solutions is either from IEEE paper or from other textbook. In Rel-19, we have some further study on TRP simplifications and end up with simple text updates on the preferred test method in specification Annex. n RAN4, we didn</w:t>
      </w:r>
      <w:r>
        <w:rPr>
          <w:rFonts w:hint="default"/>
          <w:highlight w:val="none"/>
          <w:lang w:val="en-US" w:eastAsia="zh-CN"/>
        </w:rPr>
        <w:t>’</w:t>
      </w:r>
      <w:r>
        <w:rPr>
          <w:rFonts w:hint="eastAsia"/>
          <w:highlight w:val="none"/>
          <w:lang w:val="en-US" w:eastAsia="zh-CN"/>
        </w:rPr>
        <w:t>t have sufficient time to conduct the relevant study and evaluation to identify the difference among them, therefore in 6GR SI phase, we propose to conduct the theoretical study and evaluation in RAN4 to define the appropriate TRP testing method. For the candidate optimized solutions for TRP measurement, the benefit for the reduction of testing time or complexity should be well justified before it is captured in the specification.</w:t>
      </w:r>
    </w:p>
    <w:p w14:paraId="54E549D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highlight w:val="none"/>
          <w:lang w:val="en-US" w:eastAsia="zh-CN"/>
        </w:rPr>
      </w:pPr>
      <w:r>
        <w:rPr>
          <w:rFonts w:hint="eastAsia"/>
          <w:b/>
          <w:bCs/>
          <w:highlight w:val="none"/>
          <w:lang w:val="en-US" w:eastAsia="zh-CN"/>
        </w:rPr>
        <w:t>Proposal 2</w:t>
      </w:r>
      <w:r>
        <w:rPr>
          <w:rFonts w:hint="eastAsia"/>
          <w:highlight w:val="none"/>
          <w:lang w:val="en-US" w:eastAsia="zh-CN"/>
        </w:rPr>
        <w:t xml:space="preserve">: For TRP measurement in conformance testing specification, propose to conduct the theoretical study and evaluation in RAN4 to define the appropriate TRP testing method. </w:t>
      </w:r>
    </w:p>
    <w:bookmarkEnd w:id="1"/>
    <w:bookmarkEnd w:id="2"/>
    <w:bookmarkEnd w:id="3"/>
    <w:bookmarkEnd w:id="4"/>
    <w:p w14:paraId="5159F7DC">
      <w:pPr>
        <w:pStyle w:val="58"/>
        <w:tabs>
          <w:tab w:val="left" w:pos="567"/>
          <w:tab w:val="clear" w:pos="1985"/>
        </w:tabs>
        <w:adjustRightInd w:val="0"/>
        <w:ind w:left="510" w:hanging="510"/>
      </w:pPr>
      <w:r>
        <w:t>Conclusions</w:t>
      </w:r>
    </w:p>
    <w:p w14:paraId="0A787C3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w:t>
      </w:r>
      <w:r>
        <w:rPr>
          <w:rFonts w:hint="eastAsia"/>
          <w:sz w:val="20"/>
          <w:szCs w:val="20"/>
          <w:lang w:val="en-US" w:eastAsia="zh-CN"/>
        </w:rPr>
        <w:t>6GR U6GHz conformance testing</w:t>
      </w:r>
      <w:r>
        <w:rPr>
          <w:rFonts w:hint="eastAsia"/>
          <w:lang w:val="en-US" w:eastAsia="zh-CN"/>
        </w:rPr>
        <w:t xml:space="preserve"> </w:t>
      </w:r>
      <w:r>
        <w:rPr>
          <w:rFonts w:hint="eastAsia" w:eastAsiaTheme="minorEastAsia"/>
          <w:lang w:val="en-US" w:eastAsia="zh-CN"/>
        </w:rPr>
        <w:t xml:space="preserve">and proposals are made as following: </w:t>
      </w:r>
      <w:r>
        <w:rPr>
          <w:rFonts w:hint="eastAsia"/>
          <w:b w:val="0"/>
          <w:bCs w:val="0"/>
          <w:lang w:val="en-US" w:eastAsia="zh-CN"/>
        </w:rPr>
        <w:t xml:space="preserve"> </w:t>
      </w:r>
    </w:p>
    <w:p w14:paraId="23345072">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highlight w:val="none"/>
          <w:lang w:val="en-US" w:eastAsia="zh-CN"/>
        </w:rPr>
        <w:t>Proposal 1</w:t>
      </w:r>
      <w:r>
        <w:rPr>
          <w:rFonts w:hint="eastAsia"/>
          <w:highlight w:val="none"/>
          <w:lang w:val="en-US" w:eastAsia="zh-CN"/>
        </w:rPr>
        <w:t>: For the conformance testing of U6GHz EEIRP mask in 6G, propose to consider the unequally distributed test beams across the whole coverage regions from the time domain (e.g. 6GR BS need to provide the sensing or UAV service with periodic beams steering upwards) in addition to the equally distributed test beams in Rel-19.</w:t>
      </w:r>
      <w:r>
        <w:rPr>
          <w:rFonts w:hint="eastAsia" w:eastAsiaTheme="minorEastAsia"/>
          <w:lang w:val="en-US" w:eastAsia="zh-CN"/>
        </w:rPr>
        <w:t xml:space="preserve"> </w:t>
      </w:r>
      <w:r>
        <w:rPr>
          <w:rFonts w:hint="eastAsia"/>
          <w:b w:val="0"/>
          <w:bCs w:val="0"/>
          <w:lang w:val="en-US" w:eastAsia="zh-CN"/>
        </w:rPr>
        <w:t xml:space="preserve"> </w:t>
      </w:r>
    </w:p>
    <w:p w14:paraId="3DA709C6">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b w:val="0"/>
          <w:bCs w:val="0"/>
          <w:lang w:val="en-US" w:eastAsia="zh-CN"/>
        </w:rPr>
      </w:pPr>
      <w:r>
        <w:rPr>
          <w:rFonts w:hint="eastAsia"/>
          <w:b/>
          <w:bCs/>
          <w:highlight w:val="none"/>
          <w:lang w:val="en-US" w:eastAsia="zh-CN"/>
        </w:rPr>
        <w:t>Proposal 2</w:t>
      </w:r>
      <w:r>
        <w:rPr>
          <w:rFonts w:hint="eastAsia"/>
          <w:highlight w:val="none"/>
          <w:lang w:val="en-US" w:eastAsia="zh-CN"/>
        </w:rPr>
        <w:t xml:space="preserve">: For TRP measurement in conformance testing specification, propose to conduct the theoretical study and evaluation in RAN4 to define the appropriate TRP testing method. </w:t>
      </w:r>
    </w:p>
    <w:p w14:paraId="4F5867B4">
      <w:pPr>
        <w:pStyle w:val="58"/>
        <w:tabs>
          <w:tab w:val="left" w:pos="567"/>
          <w:tab w:val="clear" w:pos="1985"/>
        </w:tabs>
        <w:adjustRightInd w:val="0"/>
        <w:ind w:left="510" w:hanging="510"/>
      </w:pPr>
      <w:r>
        <w:t>References</w:t>
      </w:r>
    </w:p>
    <w:p w14:paraId="150F96DB">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4066E63E">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4A684579">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2FADA241">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026F4ECA">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D054D45">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7BFE1DC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7F0A42D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5B8444FE">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[9] </w:t>
      </w: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0AC93C8F">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056DF0F8">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A57207B"/>
    <w:multiLevelType w:val="multilevel"/>
    <w:tmpl w:val="1A57207B"/>
    <w:lvl w:ilvl="0" w:tentative="0">
      <w:start w:val="10"/>
      <w:numFmt w:val="bullet"/>
      <w:lvlText w:val="-"/>
      <w:lvlJc w:val="left"/>
      <w:pPr>
        <w:ind w:left="720" w:hanging="360"/>
      </w:pPr>
      <w:rPr>
        <w:rFonts w:hint="default" w:ascii="Arial" w:hAnsi="Arial" w:eastAsia="宋体" w:cs="Arial"/>
        <w:color w:val="auto"/>
        <w:sz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A44"/>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07B0A"/>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83505"/>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3B63"/>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A68C4"/>
    <w:rsid w:val="04FB4499"/>
    <w:rsid w:val="04FB71D2"/>
    <w:rsid w:val="04FE63B4"/>
    <w:rsid w:val="04FF76AB"/>
    <w:rsid w:val="05010225"/>
    <w:rsid w:val="050164A3"/>
    <w:rsid w:val="050E236F"/>
    <w:rsid w:val="051034CD"/>
    <w:rsid w:val="051F43BC"/>
    <w:rsid w:val="052432F7"/>
    <w:rsid w:val="05280A89"/>
    <w:rsid w:val="052A278C"/>
    <w:rsid w:val="052D14A7"/>
    <w:rsid w:val="0530678A"/>
    <w:rsid w:val="05367F8C"/>
    <w:rsid w:val="05391126"/>
    <w:rsid w:val="0539563E"/>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73421"/>
    <w:rsid w:val="05AC4062"/>
    <w:rsid w:val="05AD341A"/>
    <w:rsid w:val="05AF3B52"/>
    <w:rsid w:val="05B11A20"/>
    <w:rsid w:val="05B173DC"/>
    <w:rsid w:val="05B2719F"/>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952A3"/>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27264B"/>
    <w:rsid w:val="082A0972"/>
    <w:rsid w:val="08340D36"/>
    <w:rsid w:val="0835476E"/>
    <w:rsid w:val="08367FC2"/>
    <w:rsid w:val="08391661"/>
    <w:rsid w:val="084126B6"/>
    <w:rsid w:val="084D03F1"/>
    <w:rsid w:val="084E0029"/>
    <w:rsid w:val="08510EF1"/>
    <w:rsid w:val="08550FFB"/>
    <w:rsid w:val="085869FE"/>
    <w:rsid w:val="085B2B84"/>
    <w:rsid w:val="085B5CAA"/>
    <w:rsid w:val="085D5AE7"/>
    <w:rsid w:val="085D6C7E"/>
    <w:rsid w:val="08611CAF"/>
    <w:rsid w:val="0865781A"/>
    <w:rsid w:val="0866133E"/>
    <w:rsid w:val="08692F64"/>
    <w:rsid w:val="086E55FF"/>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9D6D15"/>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B4153"/>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03C9B"/>
    <w:rsid w:val="09941727"/>
    <w:rsid w:val="09957BB0"/>
    <w:rsid w:val="09972599"/>
    <w:rsid w:val="09991E4D"/>
    <w:rsid w:val="099D065B"/>
    <w:rsid w:val="099D22A1"/>
    <w:rsid w:val="09A209E6"/>
    <w:rsid w:val="09A545D9"/>
    <w:rsid w:val="09A64698"/>
    <w:rsid w:val="09A6701A"/>
    <w:rsid w:val="09A9204A"/>
    <w:rsid w:val="09AC5074"/>
    <w:rsid w:val="09AD07F3"/>
    <w:rsid w:val="09B14A34"/>
    <w:rsid w:val="09B91042"/>
    <w:rsid w:val="09B959E5"/>
    <w:rsid w:val="09BA1421"/>
    <w:rsid w:val="09BA5647"/>
    <w:rsid w:val="09BC4A90"/>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A77D7"/>
    <w:rsid w:val="0A0E6073"/>
    <w:rsid w:val="0A113C31"/>
    <w:rsid w:val="0A116C04"/>
    <w:rsid w:val="0A13335B"/>
    <w:rsid w:val="0A145E2C"/>
    <w:rsid w:val="0A1A2E51"/>
    <w:rsid w:val="0A206DCD"/>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876A7"/>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85CF6"/>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7B5F99"/>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130B8"/>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3E178C"/>
    <w:rsid w:val="0C403756"/>
    <w:rsid w:val="0C455380"/>
    <w:rsid w:val="0C4D7C21"/>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33015"/>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84323"/>
    <w:rsid w:val="0D8F1433"/>
    <w:rsid w:val="0D904522"/>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21F49"/>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F0E9A"/>
    <w:rsid w:val="0E400D03"/>
    <w:rsid w:val="0E406D5C"/>
    <w:rsid w:val="0E485C9B"/>
    <w:rsid w:val="0E4D4B22"/>
    <w:rsid w:val="0E4E4244"/>
    <w:rsid w:val="0E595BF7"/>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6442D"/>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00551"/>
    <w:rsid w:val="0F9A3D44"/>
    <w:rsid w:val="0FA11695"/>
    <w:rsid w:val="0FA26E81"/>
    <w:rsid w:val="0FA615E1"/>
    <w:rsid w:val="0FAD0019"/>
    <w:rsid w:val="0FAD3299"/>
    <w:rsid w:val="0FAD3F5A"/>
    <w:rsid w:val="0FAE4E7B"/>
    <w:rsid w:val="0FB261C9"/>
    <w:rsid w:val="0FB31343"/>
    <w:rsid w:val="0FB714C3"/>
    <w:rsid w:val="0FBB04C6"/>
    <w:rsid w:val="0FBF2BE4"/>
    <w:rsid w:val="0FBF642C"/>
    <w:rsid w:val="0FC06D12"/>
    <w:rsid w:val="0FC12836"/>
    <w:rsid w:val="0FC427AC"/>
    <w:rsid w:val="0FD95333"/>
    <w:rsid w:val="0FDC57ED"/>
    <w:rsid w:val="0FDD44E9"/>
    <w:rsid w:val="0FDE143F"/>
    <w:rsid w:val="0FE0698F"/>
    <w:rsid w:val="0FEA3F98"/>
    <w:rsid w:val="0FEB0378"/>
    <w:rsid w:val="0FEC322B"/>
    <w:rsid w:val="0FEC6EF6"/>
    <w:rsid w:val="10036C5E"/>
    <w:rsid w:val="10045EE6"/>
    <w:rsid w:val="10060813"/>
    <w:rsid w:val="10071FE5"/>
    <w:rsid w:val="1008458B"/>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B68C8"/>
    <w:rsid w:val="106D678B"/>
    <w:rsid w:val="107240FA"/>
    <w:rsid w:val="107374A2"/>
    <w:rsid w:val="10746083"/>
    <w:rsid w:val="10757746"/>
    <w:rsid w:val="10774625"/>
    <w:rsid w:val="10777324"/>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1D2"/>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369D"/>
    <w:rsid w:val="11E608FC"/>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502219"/>
    <w:rsid w:val="12522A20"/>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B1068C"/>
    <w:rsid w:val="12B371AD"/>
    <w:rsid w:val="12B40507"/>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17569"/>
    <w:rsid w:val="134904A6"/>
    <w:rsid w:val="134D334B"/>
    <w:rsid w:val="134F0723"/>
    <w:rsid w:val="13564F52"/>
    <w:rsid w:val="1357258A"/>
    <w:rsid w:val="13573133"/>
    <w:rsid w:val="135845C3"/>
    <w:rsid w:val="135E44C2"/>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C17C7"/>
    <w:rsid w:val="13FD4FCC"/>
    <w:rsid w:val="13FE285E"/>
    <w:rsid w:val="1400502D"/>
    <w:rsid w:val="140137CB"/>
    <w:rsid w:val="14083E7D"/>
    <w:rsid w:val="140D5E1A"/>
    <w:rsid w:val="1410395F"/>
    <w:rsid w:val="14127A7E"/>
    <w:rsid w:val="141624C3"/>
    <w:rsid w:val="141B08A6"/>
    <w:rsid w:val="141D437D"/>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00FF3"/>
    <w:rsid w:val="149363B8"/>
    <w:rsid w:val="149633A7"/>
    <w:rsid w:val="149E0A7B"/>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D40EDF"/>
    <w:rsid w:val="14DA401C"/>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70A44"/>
    <w:rsid w:val="15CB73D1"/>
    <w:rsid w:val="15D4474D"/>
    <w:rsid w:val="15D65753"/>
    <w:rsid w:val="15D7597F"/>
    <w:rsid w:val="15DD2016"/>
    <w:rsid w:val="15E32BB5"/>
    <w:rsid w:val="15E73FF8"/>
    <w:rsid w:val="15F5110D"/>
    <w:rsid w:val="15F53F0F"/>
    <w:rsid w:val="15F5735F"/>
    <w:rsid w:val="15FA64BF"/>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1459"/>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83B61"/>
    <w:rsid w:val="176C704A"/>
    <w:rsid w:val="177653C5"/>
    <w:rsid w:val="17771FF6"/>
    <w:rsid w:val="17773DA4"/>
    <w:rsid w:val="17781A92"/>
    <w:rsid w:val="177C13BA"/>
    <w:rsid w:val="177F6BC3"/>
    <w:rsid w:val="17844C56"/>
    <w:rsid w:val="179559A6"/>
    <w:rsid w:val="17957384"/>
    <w:rsid w:val="17977680"/>
    <w:rsid w:val="17981331"/>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620D99"/>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D783A"/>
    <w:rsid w:val="18A16B9A"/>
    <w:rsid w:val="18A1732B"/>
    <w:rsid w:val="18A3607E"/>
    <w:rsid w:val="18A46E1B"/>
    <w:rsid w:val="18A5427C"/>
    <w:rsid w:val="18A94FC3"/>
    <w:rsid w:val="18A961DF"/>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B61A2"/>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35223"/>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4365C"/>
    <w:rsid w:val="1DB835A9"/>
    <w:rsid w:val="1DC254A8"/>
    <w:rsid w:val="1DC31AF1"/>
    <w:rsid w:val="1DC35F95"/>
    <w:rsid w:val="1DC603E1"/>
    <w:rsid w:val="1DEC45ED"/>
    <w:rsid w:val="1DF223D6"/>
    <w:rsid w:val="1DF2745E"/>
    <w:rsid w:val="1DF32FB4"/>
    <w:rsid w:val="1DF42A93"/>
    <w:rsid w:val="1DF63C75"/>
    <w:rsid w:val="1DF71857"/>
    <w:rsid w:val="1DF71982"/>
    <w:rsid w:val="1DF81251"/>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C6AF7"/>
    <w:rsid w:val="1F405E44"/>
    <w:rsid w:val="1F4A3D83"/>
    <w:rsid w:val="1F4E681F"/>
    <w:rsid w:val="1F4F1C62"/>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B1E13"/>
    <w:rsid w:val="203C2005"/>
    <w:rsid w:val="20402758"/>
    <w:rsid w:val="20417F77"/>
    <w:rsid w:val="20420995"/>
    <w:rsid w:val="20447B3E"/>
    <w:rsid w:val="204619A3"/>
    <w:rsid w:val="20494F9C"/>
    <w:rsid w:val="204D7AED"/>
    <w:rsid w:val="204F595B"/>
    <w:rsid w:val="20532924"/>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21A35"/>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A44E5"/>
    <w:rsid w:val="214B1974"/>
    <w:rsid w:val="214C004F"/>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2448"/>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21B37"/>
    <w:rsid w:val="2208516B"/>
    <w:rsid w:val="2209399D"/>
    <w:rsid w:val="22097CEF"/>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2F02"/>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B5BA3"/>
    <w:rsid w:val="23CC4AE0"/>
    <w:rsid w:val="23CE5D21"/>
    <w:rsid w:val="23D160BB"/>
    <w:rsid w:val="23D2612A"/>
    <w:rsid w:val="23D33566"/>
    <w:rsid w:val="23D476CF"/>
    <w:rsid w:val="23D53925"/>
    <w:rsid w:val="23D9762E"/>
    <w:rsid w:val="23DA78F1"/>
    <w:rsid w:val="23DF2C6B"/>
    <w:rsid w:val="23DF33FD"/>
    <w:rsid w:val="23E14E6C"/>
    <w:rsid w:val="23E173A1"/>
    <w:rsid w:val="23E32EED"/>
    <w:rsid w:val="23E3610D"/>
    <w:rsid w:val="23E46C65"/>
    <w:rsid w:val="23E52298"/>
    <w:rsid w:val="23E94462"/>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111B0"/>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61511"/>
    <w:rsid w:val="26472F6E"/>
    <w:rsid w:val="264F2FA3"/>
    <w:rsid w:val="26510DB8"/>
    <w:rsid w:val="26531A21"/>
    <w:rsid w:val="265559D0"/>
    <w:rsid w:val="2656452D"/>
    <w:rsid w:val="265A4DDA"/>
    <w:rsid w:val="266239C5"/>
    <w:rsid w:val="26626905"/>
    <w:rsid w:val="2666570F"/>
    <w:rsid w:val="26667EB2"/>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7B1A"/>
    <w:rsid w:val="274B7BBC"/>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22A1D"/>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C06D17"/>
    <w:rsid w:val="27C66099"/>
    <w:rsid w:val="27C70430"/>
    <w:rsid w:val="27CA7CDA"/>
    <w:rsid w:val="27CD4F03"/>
    <w:rsid w:val="27D30C3C"/>
    <w:rsid w:val="27D747BE"/>
    <w:rsid w:val="27DF1D24"/>
    <w:rsid w:val="27E30D7E"/>
    <w:rsid w:val="27E43C95"/>
    <w:rsid w:val="27E60CAF"/>
    <w:rsid w:val="27EC6404"/>
    <w:rsid w:val="27F07B94"/>
    <w:rsid w:val="27F20EFC"/>
    <w:rsid w:val="27F356C9"/>
    <w:rsid w:val="27FB11A8"/>
    <w:rsid w:val="27FB4685"/>
    <w:rsid w:val="27FE4240"/>
    <w:rsid w:val="27FF2D7D"/>
    <w:rsid w:val="280008FF"/>
    <w:rsid w:val="28050D91"/>
    <w:rsid w:val="28081174"/>
    <w:rsid w:val="280A73A7"/>
    <w:rsid w:val="280B0292"/>
    <w:rsid w:val="281035C6"/>
    <w:rsid w:val="28140E2A"/>
    <w:rsid w:val="281D44F4"/>
    <w:rsid w:val="2824417F"/>
    <w:rsid w:val="28255041"/>
    <w:rsid w:val="282633A8"/>
    <w:rsid w:val="282835C4"/>
    <w:rsid w:val="282B1213"/>
    <w:rsid w:val="282B59A2"/>
    <w:rsid w:val="282B63AA"/>
    <w:rsid w:val="282C45B9"/>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D1A76"/>
    <w:rsid w:val="28CE2A8C"/>
    <w:rsid w:val="28D139F1"/>
    <w:rsid w:val="28D5169B"/>
    <w:rsid w:val="28DA6C60"/>
    <w:rsid w:val="28DB0A30"/>
    <w:rsid w:val="28DC615D"/>
    <w:rsid w:val="28DD2C80"/>
    <w:rsid w:val="28DD72CB"/>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37653"/>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11EAB"/>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5448D"/>
    <w:rsid w:val="2B4722C4"/>
    <w:rsid w:val="2B491A81"/>
    <w:rsid w:val="2B4D019C"/>
    <w:rsid w:val="2B4F4A14"/>
    <w:rsid w:val="2B503CF4"/>
    <w:rsid w:val="2B5312B4"/>
    <w:rsid w:val="2B5841C1"/>
    <w:rsid w:val="2B592A46"/>
    <w:rsid w:val="2B5B7165"/>
    <w:rsid w:val="2B611B55"/>
    <w:rsid w:val="2B662258"/>
    <w:rsid w:val="2B686C09"/>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09D7"/>
    <w:rsid w:val="2BBA6EF5"/>
    <w:rsid w:val="2BBD5502"/>
    <w:rsid w:val="2BBE53B4"/>
    <w:rsid w:val="2BC03979"/>
    <w:rsid w:val="2BC11E13"/>
    <w:rsid w:val="2BC42FBB"/>
    <w:rsid w:val="2BC873B9"/>
    <w:rsid w:val="2BC929C8"/>
    <w:rsid w:val="2BC941AF"/>
    <w:rsid w:val="2BD01C8D"/>
    <w:rsid w:val="2BD63337"/>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2088D"/>
    <w:rsid w:val="2C7A3BB0"/>
    <w:rsid w:val="2C7A4688"/>
    <w:rsid w:val="2C7B3727"/>
    <w:rsid w:val="2C7C5C8D"/>
    <w:rsid w:val="2C7D6665"/>
    <w:rsid w:val="2C7E0668"/>
    <w:rsid w:val="2C7E4570"/>
    <w:rsid w:val="2C8114F5"/>
    <w:rsid w:val="2C865A05"/>
    <w:rsid w:val="2C8B0557"/>
    <w:rsid w:val="2C8B5ED0"/>
    <w:rsid w:val="2C956D4E"/>
    <w:rsid w:val="2C982697"/>
    <w:rsid w:val="2C987164"/>
    <w:rsid w:val="2C9A28D3"/>
    <w:rsid w:val="2C9F1C78"/>
    <w:rsid w:val="2CA34EDF"/>
    <w:rsid w:val="2CAA26C8"/>
    <w:rsid w:val="2CBC4209"/>
    <w:rsid w:val="2CC12D54"/>
    <w:rsid w:val="2CC9742A"/>
    <w:rsid w:val="2CCA5B7B"/>
    <w:rsid w:val="2CCB1415"/>
    <w:rsid w:val="2CCB3003"/>
    <w:rsid w:val="2CD17849"/>
    <w:rsid w:val="2CD27B2F"/>
    <w:rsid w:val="2CD47078"/>
    <w:rsid w:val="2CDA4FDA"/>
    <w:rsid w:val="2CDC7091"/>
    <w:rsid w:val="2CE128DC"/>
    <w:rsid w:val="2CE16D71"/>
    <w:rsid w:val="2CE27F26"/>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70975"/>
    <w:rsid w:val="2D7A06F1"/>
    <w:rsid w:val="2D8151A4"/>
    <w:rsid w:val="2D843B38"/>
    <w:rsid w:val="2D8A7B9A"/>
    <w:rsid w:val="2D8B7F03"/>
    <w:rsid w:val="2D953FDA"/>
    <w:rsid w:val="2DA02E9C"/>
    <w:rsid w:val="2DA43BBB"/>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14AFB"/>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6630F"/>
    <w:rsid w:val="2E3746AB"/>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279E9"/>
    <w:rsid w:val="2E993370"/>
    <w:rsid w:val="2E9A086A"/>
    <w:rsid w:val="2E9A69ED"/>
    <w:rsid w:val="2E9B22A9"/>
    <w:rsid w:val="2E9F2106"/>
    <w:rsid w:val="2EA049A8"/>
    <w:rsid w:val="2EA23F14"/>
    <w:rsid w:val="2EA26ABE"/>
    <w:rsid w:val="2EA72F10"/>
    <w:rsid w:val="2EA74B75"/>
    <w:rsid w:val="2EB61295"/>
    <w:rsid w:val="2EB6157F"/>
    <w:rsid w:val="2EB941A6"/>
    <w:rsid w:val="2EC414ED"/>
    <w:rsid w:val="2EC71A13"/>
    <w:rsid w:val="2EC722DC"/>
    <w:rsid w:val="2EC9437A"/>
    <w:rsid w:val="2ED20B55"/>
    <w:rsid w:val="2ED67E68"/>
    <w:rsid w:val="2EDC714E"/>
    <w:rsid w:val="2EE32E87"/>
    <w:rsid w:val="2EE56E25"/>
    <w:rsid w:val="2EEA307E"/>
    <w:rsid w:val="2EEF6737"/>
    <w:rsid w:val="2EF064BE"/>
    <w:rsid w:val="2EF276DC"/>
    <w:rsid w:val="2EF51D26"/>
    <w:rsid w:val="2EF53C20"/>
    <w:rsid w:val="2EFA10EB"/>
    <w:rsid w:val="2EFC5DDD"/>
    <w:rsid w:val="2EFF6701"/>
    <w:rsid w:val="2F002CCF"/>
    <w:rsid w:val="2F0160A3"/>
    <w:rsid w:val="2F083808"/>
    <w:rsid w:val="2F1228D8"/>
    <w:rsid w:val="2F180660"/>
    <w:rsid w:val="2F18561C"/>
    <w:rsid w:val="2F1A491A"/>
    <w:rsid w:val="2F1C3DF5"/>
    <w:rsid w:val="2F212728"/>
    <w:rsid w:val="2F263B51"/>
    <w:rsid w:val="2F284812"/>
    <w:rsid w:val="2F2960CC"/>
    <w:rsid w:val="2F2F3D52"/>
    <w:rsid w:val="2F3445FD"/>
    <w:rsid w:val="2F3B7B8B"/>
    <w:rsid w:val="2F3C5BA7"/>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35AC"/>
    <w:rsid w:val="2FF344D2"/>
    <w:rsid w:val="2FF40BAE"/>
    <w:rsid w:val="2FF83775"/>
    <w:rsid w:val="2FF95633"/>
    <w:rsid w:val="2FFB511A"/>
    <w:rsid w:val="2FFB79D1"/>
    <w:rsid w:val="2FFD391C"/>
    <w:rsid w:val="2FFE4C0B"/>
    <w:rsid w:val="30010F70"/>
    <w:rsid w:val="30033D52"/>
    <w:rsid w:val="300F7F13"/>
    <w:rsid w:val="30146B19"/>
    <w:rsid w:val="30151A88"/>
    <w:rsid w:val="301C0A49"/>
    <w:rsid w:val="301D6D19"/>
    <w:rsid w:val="301E3C00"/>
    <w:rsid w:val="302757BF"/>
    <w:rsid w:val="302E1CAD"/>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F558E"/>
    <w:rsid w:val="3065119A"/>
    <w:rsid w:val="306A678C"/>
    <w:rsid w:val="306B4848"/>
    <w:rsid w:val="30752E77"/>
    <w:rsid w:val="3079550C"/>
    <w:rsid w:val="308018A6"/>
    <w:rsid w:val="30804E19"/>
    <w:rsid w:val="30837B23"/>
    <w:rsid w:val="30896BCA"/>
    <w:rsid w:val="3090288F"/>
    <w:rsid w:val="309219BB"/>
    <w:rsid w:val="30921E98"/>
    <w:rsid w:val="3097567B"/>
    <w:rsid w:val="30980DA8"/>
    <w:rsid w:val="309B0CFB"/>
    <w:rsid w:val="309B2EEC"/>
    <w:rsid w:val="309E4272"/>
    <w:rsid w:val="309F0473"/>
    <w:rsid w:val="30A12166"/>
    <w:rsid w:val="30A25EDE"/>
    <w:rsid w:val="30A9101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15055"/>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E28A4"/>
    <w:rsid w:val="31BE79F2"/>
    <w:rsid w:val="31C363A1"/>
    <w:rsid w:val="31CA5CF8"/>
    <w:rsid w:val="31CB26CD"/>
    <w:rsid w:val="31CF2CD1"/>
    <w:rsid w:val="31CF4AB1"/>
    <w:rsid w:val="31D06A52"/>
    <w:rsid w:val="31D216CC"/>
    <w:rsid w:val="31D22092"/>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44A4"/>
    <w:rsid w:val="3304026E"/>
    <w:rsid w:val="33066388"/>
    <w:rsid w:val="330B1B3D"/>
    <w:rsid w:val="330C174B"/>
    <w:rsid w:val="330F1E44"/>
    <w:rsid w:val="331747E7"/>
    <w:rsid w:val="331A7FAD"/>
    <w:rsid w:val="331B37C6"/>
    <w:rsid w:val="331C390F"/>
    <w:rsid w:val="331C454D"/>
    <w:rsid w:val="3320382D"/>
    <w:rsid w:val="33222F7E"/>
    <w:rsid w:val="33231C09"/>
    <w:rsid w:val="332A151B"/>
    <w:rsid w:val="332D624D"/>
    <w:rsid w:val="332E0E9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A2C62"/>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5FA4904"/>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7BF2"/>
    <w:rsid w:val="364517E5"/>
    <w:rsid w:val="36486576"/>
    <w:rsid w:val="364A08D8"/>
    <w:rsid w:val="364B2312"/>
    <w:rsid w:val="364C4922"/>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3608"/>
    <w:rsid w:val="37357964"/>
    <w:rsid w:val="373757CA"/>
    <w:rsid w:val="373B5161"/>
    <w:rsid w:val="373C4996"/>
    <w:rsid w:val="373D6F58"/>
    <w:rsid w:val="37446333"/>
    <w:rsid w:val="37446A77"/>
    <w:rsid w:val="374D0B20"/>
    <w:rsid w:val="37503F9E"/>
    <w:rsid w:val="37531CE0"/>
    <w:rsid w:val="37557969"/>
    <w:rsid w:val="375836DC"/>
    <w:rsid w:val="375D4473"/>
    <w:rsid w:val="375E14C9"/>
    <w:rsid w:val="37607F59"/>
    <w:rsid w:val="37615F3C"/>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8362D"/>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74E65"/>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6F66A6"/>
    <w:rsid w:val="38747711"/>
    <w:rsid w:val="38775820"/>
    <w:rsid w:val="38786545"/>
    <w:rsid w:val="38786CAE"/>
    <w:rsid w:val="387E49CA"/>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B747A8"/>
    <w:rsid w:val="39B76556"/>
    <w:rsid w:val="39BB78F7"/>
    <w:rsid w:val="39BC428E"/>
    <w:rsid w:val="39BF2BB7"/>
    <w:rsid w:val="39C46549"/>
    <w:rsid w:val="39C46AF6"/>
    <w:rsid w:val="39CA1A60"/>
    <w:rsid w:val="39CB2D0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57964"/>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5CA4"/>
    <w:rsid w:val="3B2356A8"/>
    <w:rsid w:val="3B247C1B"/>
    <w:rsid w:val="3B2806D1"/>
    <w:rsid w:val="3B283760"/>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FE4"/>
    <w:rsid w:val="3BA35FC1"/>
    <w:rsid w:val="3BA566FD"/>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1375"/>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95063"/>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978B0"/>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DFC1B15"/>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86B10"/>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451AA"/>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95DFA"/>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7201D"/>
    <w:rsid w:val="4108712E"/>
    <w:rsid w:val="410924C1"/>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D59F2"/>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84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BD4926"/>
    <w:rsid w:val="41C06F9B"/>
    <w:rsid w:val="41C20B21"/>
    <w:rsid w:val="41C20F3F"/>
    <w:rsid w:val="41CF504E"/>
    <w:rsid w:val="41D1580B"/>
    <w:rsid w:val="41D57639"/>
    <w:rsid w:val="41D6060E"/>
    <w:rsid w:val="41DA54D8"/>
    <w:rsid w:val="41DC5EDF"/>
    <w:rsid w:val="41DD05DE"/>
    <w:rsid w:val="41E4117E"/>
    <w:rsid w:val="41E41803"/>
    <w:rsid w:val="41E52CA5"/>
    <w:rsid w:val="41E56974"/>
    <w:rsid w:val="41E6368B"/>
    <w:rsid w:val="41E83EF6"/>
    <w:rsid w:val="41EA4FEF"/>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B1059"/>
    <w:rsid w:val="422370F9"/>
    <w:rsid w:val="42292165"/>
    <w:rsid w:val="42294221"/>
    <w:rsid w:val="422C32BD"/>
    <w:rsid w:val="422E207E"/>
    <w:rsid w:val="4230121C"/>
    <w:rsid w:val="423038F8"/>
    <w:rsid w:val="4233620C"/>
    <w:rsid w:val="42346793"/>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608D6"/>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DE0B83"/>
    <w:rsid w:val="43E03B8F"/>
    <w:rsid w:val="43E21F58"/>
    <w:rsid w:val="43E35EF0"/>
    <w:rsid w:val="43EB1944"/>
    <w:rsid w:val="43F71BCF"/>
    <w:rsid w:val="43F76F69"/>
    <w:rsid w:val="43F90FED"/>
    <w:rsid w:val="43F9776B"/>
    <w:rsid w:val="43FC0DB2"/>
    <w:rsid w:val="44022AC4"/>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2103"/>
    <w:rsid w:val="45B64B84"/>
    <w:rsid w:val="45BA6033"/>
    <w:rsid w:val="45C73FC5"/>
    <w:rsid w:val="45C85EA2"/>
    <w:rsid w:val="45CC1FC2"/>
    <w:rsid w:val="45CF3B03"/>
    <w:rsid w:val="45D65FB6"/>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65246"/>
    <w:rsid w:val="463B1763"/>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2D60AA"/>
    <w:rsid w:val="47333B1B"/>
    <w:rsid w:val="47333DBE"/>
    <w:rsid w:val="47341BB2"/>
    <w:rsid w:val="47351654"/>
    <w:rsid w:val="473D0BD8"/>
    <w:rsid w:val="47457188"/>
    <w:rsid w:val="47462CC7"/>
    <w:rsid w:val="474844A2"/>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34AD0"/>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82E4D"/>
    <w:rsid w:val="480B1862"/>
    <w:rsid w:val="480B57A8"/>
    <w:rsid w:val="480B749D"/>
    <w:rsid w:val="480B7A59"/>
    <w:rsid w:val="48111DC2"/>
    <w:rsid w:val="481132D5"/>
    <w:rsid w:val="48156BFB"/>
    <w:rsid w:val="481B5A1B"/>
    <w:rsid w:val="481E5F8D"/>
    <w:rsid w:val="48204877"/>
    <w:rsid w:val="482B39B5"/>
    <w:rsid w:val="482D1B49"/>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C1940"/>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C2FFE"/>
    <w:rsid w:val="48AF255D"/>
    <w:rsid w:val="48B16C29"/>
    <w:rsid w:val="48B305F1"/>
    <w:rsid w:val="48B32B26"/>
    <w:rsid w:val="48B44D6B"/>
    <w:rsid w:val="48B470F8"/>
    <w:rsid w:val="48B60321"/>
    <w:rsid w:val="48B75AB4"/>
    <w:rsid w:val="48B75CD0"/>
    <w:rsid w:val="48B77B8A"/>
    <w:rsid w:val="48C17F25"/>
    <w:rsid w:val="48C21039"/>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75A09"/>
    <w:rsid w:val="4A19214F"/>
    <w:rsid w:val="4A1A5F35"/>
    <w:rsid w:val="4A1F7925"/>
    <w:rsid w:val="4A2322DF"/>
    <w:rsid w:val="4A293841"/>
    <w:rsid w:val="4A294597"/>
    <w:rsid w:val="4A2A2D74"/>
    <w:rsid w:val="4A2D3660"/>
    <w:rsid w:val="4A2E7749"/>
    <w:rsid w:val="4A325785"/>
    <w:rsid w:val="4A381BA6"/>
    <w:rsid w:val="4A3926E2"/>
    <w:rsid w:val="4A4172CE"/>
    <w:rsid w:val="4A43236C"/>
    <w:rsid w:val="4A4A176A"/>
    <w:rsid w:val="4A5370A6"/>
    <w:rsid w:val="4A5558E9"/>
    <w:rsid w:val="4A5971B6"/>
    <w:rsid w:val="4A5B4CDC"/>
    <w:rsid w:val="4A5C4447"/>
    <w:rsid w:val="4A5C6983"/>
    <w:rsid w:val="4A5F63D6"/>
    <w:rsid w:val="4A643FBD"/>
    <w:rsid w:val="4A652ED9"/>
    <w:rsid w:val="4A6C0FC7"/>
    <w:rsid w:val="4A6D7FF3"/>
    <w:rsid w:val="4A702F34"/>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840CB"/>
    <w:rsid w:val="4C285091"/>
    <w:rsid w:val="4C312ECF"/>
    <w:rsid w:val="4C3D70F7"/>
    <w:rsid w:val="4C422CA7"/>
    <w:rsid w:val="4C427C5C"/>
    <w:rsid w:val="4C5035A1"/>
    <w:rsid w:val="4C545E87"/>
    <w:rsid w:val="4C5F0B5D"/>
    <w:rsid w:val="4C606F33"/>
    <w:rsid w:val="4C6426ED"/>
    <w:rsid w:val="4C64471A"/>
    <w:rsid w:val="4C684E2F"/>
    <w:rsid w:val="4C6A2DC7"/>
    <w:rsid w:val="4C6C2FE2"/>
    <w:rsid w:val="4C6D5BD4"/>
    <w:rsid w:val="4C6F6529"/>
    <w:rsid w:val="4C722A64"/>
    <w:rsid w:val="4C77619E"/>
    <w:rsid w:val="4C793B3F"/>
    <w:rsid w:val="4C860543"/>
    <w:rsid w:val="4C871DB8"/>
    <w:rsid w:val="4C8740CC"/>
    <w:rsid w:val="4C8C73CE"/>
    <w:rsid w:val="4C8D1398"/>
    <w:rsid w:val="4C8E48D8"/>
    <w:rsid w:val="4C9202CE"/>
    <w:rsid w:val="4C944454"/>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C6201"/>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DC1A4F"/>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C3A1A"/>
    <w:rsid w:val="4F1D1400"/>
    <w:rsid w:val="4F1D1653"/>
    <w:rsid w:val="4F2064F4"/>
    <w:rsid w:val="4F2935FA"/>
    <w:rsid w:val="4F2C365D"/>
    <w:rsid w:val="4F311488"/>
    <w:rsid w:val="4F36758C"/>
    <w:rsid w:val="4F376D93"/>
    <w:rsid w:val="4F3957DF"/>
    <w:rsid w:val="4F3A5808"/>
    <w:rsid w:val="4F3B6ACF"/>
    <w:rsid w:val="4F3D4163"/>
    <w:rsid w:val="4F4026F2"/>
    <w:rsid w:val="4F493C9D"/>
    <w:rsid w:val="4F50208E"/>
    <w:rsid w:val="4F506DD9"/>
    <w:rsid w:val="4F560A53"/>
    <w:rsid w:val="4F5A7C58"/>
    <w:rsid w:val="4F5D25C0"/>
    <w:rsid w:val="4F611147"/>
    <w:rsid w:val="4F6E6F86"/>
    <w:rsid w:val="4F7278C6"/>
    <w:rsid w:val="4F764CC2"/>
    <w:rsid w:val="4F7A3E56"/>
    <w:rsid w:val="4F823D55"/>
    <w:rsid w:val="4F8343AE"/>
    <w:rsid w:val="4F85034E"/>
    <w:rsid w:val="4F876573"/>
    <w:rsid w:val="4F8847C5"/>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1AF9"/>
    <w:rsid w:val="50B139BD"/>
    <w:rsid w:val="50B92297"/>
    <w:rsid w:val="50BB0282"/>
    <w:rsid w:val="50BD1498"/>
    <w:rsid w:val="50BD2394"/>
    <w:rsid w:val="50BE1B1D"/>
    <w:rsid w:val="50BE494F"/>
    <w:rsid w:val="50C2785E"/>
    <w:rsid w:val="50C371C0"/>
    <w:rsid w:val="50C51F05"/>
    <w:rsid w:val="50C65C4E"/>
    <w:rsid w:val="50C65E30"/>
    <w:rsid w:val="50C75F36"/>
    <w:rsid w:val="50CC5D21"/>
    <w:rsid w:val="50CE70F5"/>
    <w:rsid w:val="50D228CF"/>
    <w:rsid w:val="50D650BC"/>
    <w:rsid w:val="50E05F3B"/>
    <w:rsid w:val="50E63519"/>
    <w:rsid w:val="50ED76FB"/>
    <w:rsid w:val="50EF66ED"/>
    <w:rsid w:val="50F00215"/>
    <w:rsid w:val="50F568D9"/>
    <w:rsid w:val="50F639B0"/>
    <w:rsid w:val="50FB2D75"/>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E53B9"/>
    <w:rsid w:val="514F0A29"/>
    <w:rsid w:val="514F1F93"/>
    <w:rsid w:val="515361F4"/>
    <w:rsid w:val="515529BB"/>
    <w:rsid w:val="515A64E3"/>
    <w:rsid w:val="515C30A6"/>
    <w:rsid w:val="515C58D1"/>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9124A"/>
    <w:rsid w:val="519B6306"/>
    <w:rsid w:val="519D2F03"/>
    <w:rsid w:val="519D7EB2"/>
    <w:rsid w:val="51AA27FB"/>
    <w:rsid w:val="51AB0562"/>
    <w:rsid w:val="51AD6F40"/>
    <w:rsid w:val="51AE5103"/>
    <w:rsid w:val="51B66C9C"/>
    <w:rsid w:val="51B80C66"/>
    <w:rsid w:val="51BE2EAE"/>
    <w:rsid w:val="51C01AA5"/>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75749"/>
    <w:rsid w:val="520A7B89"/>
    <w:rsid w:val="520E648E"/>
    <w:rsid w:val="520F50CF"/>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72CCB"/>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04F3"/>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C3B2A"/>
    <w:rsid w:val="545D3E4A"/>
    <w:rsid w:val="545D4AAD"/>
    <w:rsid w:val="546649A9"/>
    <w:rsid w:val="546B1EE3"/>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63D3C"/>
    <w:rsid w:val="54E80B69"/>
    <w:rsid w:val="54E85E2E"/>
    <w:rsid w:val="54E95643"/>
    <w:rsid w:val="55052C8E"/>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1D31"/>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144"/>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B78C5"/>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84B98"/>
    <w:rsid w:val="57292292"/>
    <w:rsid w:val="572C3881"/>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80ED4"/>
    <w:rsid w:val="577E025B"/>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367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01DB1"/>
    <w:rsid w:val="588509DD"/>
    <w:rsid w:val="588C0506"/>
    <w:rsid w:val="588D555E"/>
    <w:rsid w:val="58937684"/>
    <w:rsid w:val="58952615"/>
    <w:rsid w:val="58953B9F"/>
    <w:rsid w:val="58957A8C"/>
    <w:rsid w:val="589968A1"/>
    <w:rsid w:val="589C0BA1"/>
    <w:rsid w:val="589C308F"/>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3E0654"/>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9312B"/>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D172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B4F9B"/>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40AF5"/>
    <w:rsid w:val="5C780485"/>
    <w:rsid w:val="5C7A2919"/>
    <w:rsid w:val="5C814A76"/>
    <w:rsid w:val="5C82695D"/>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21C10"/>
    <w:rsid w:val="5CE47CF9"/>
    <w:rsid w:val="5CE76F8F"/>
    <w:rsid w:val="5CEB0141"/>
    <w:rsid w:val="5CEB1D70"/>
    <w:rsid w:val="5CF45558"/>
    <w:rsid w:val="5CF46F69"/>
    <w:rsid w:val="5CF52D6E"/>
    <w:rsid w:val="5CF60894"/>
    <w:rsid w:val="5CF70E19"/>
    <w:rsid w:val="5CF74D38"/>
    <w:rsid w:val="5CF80AB0"/>
    <w:rsid w:val="5CF841EB"/>
    <w:rsid w:val="5CFF22F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560DD"/>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7ED4"/>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F1411"/>
    <w:rsid w:val="5FBF3440"/>
    <w:rsid w:val="5FC53509"/>
    <w:rsid w:val="5FC573AD"/>
    <w:rsid w:val="5FCC5D9F"/>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A6B30"/>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A0710"/>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25B1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41430"/>
    <w:rsid w:val="61D64F2E"/>
    <w:rsid w:val="61D75E5D"/>
    <w:rsid w:val="61E728F9"/>
    <w:rsid w:val="61EA4E6B"/>
    <w:rsid w:val="61ED6709"/>
    <w:rsid w:val="61EF5036"/>
    <w:rsid w:val="61F061FA"/>
    <w:rsid w:val="61F3667F"/>
    <w:rsid w:val="61F43F82"/>
    <w:rsid w:val="61F67369"/>
    <w:rsid w:val="61FB110C"/>
    <w:rsid w:val="61FB56BF"/>
    <w:rsid w:val="61FD1294"/>
    <w:rsid w:val="6200643D"/>
    <w:rsid w:val="62047C92"/>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3D8"/>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C74D4"/>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0294"/>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86E00"/>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66374"/>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72789"/>
    <w:rsid w:val="659B3C29"/>
    <w:rsid w:val="659C17EE"/>
    <w:rsid w:val="65A110DC"/>
    <w:rsid w:val="65A65E7D"/>
    <w:rsid w:val="65AA2B3B"/>
    <w:rsid w:val="65B408AD"/>
    <w:rsid w:val="65B65064"/>
    <w:rsid w:val="65BC6E17"/>
    <w:rsid w:val="65BD3777"/>
    <w:rsid w:val="65BE5ECC"/>
    <w:rsid w:val="65C06C5E"/>
    <w:rsid w:val="65C4177D"/>
    <w:rsid w:val="65D43869"/>
    <w:rsid w:val="65D64BB3"/>
    <w:rsid w:val="65D70270"/>
    <w:rsid w:val="65DA51F7"/>
    <w:rsid w:val="65DF280D"/>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1F9"/>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6F1DE3"/>
    <w:rsid w:val="66727620"/>
    <w:rsid w:val="66763EED"/>
    <w:rsid w:val="66782A0E"/>
    <w:rsid w:val="667930F9"/>
    <w:rsid w:val="6679372B"/>
    <w:rsid w:val="667B3C56"/>
    <w:rsid w:val="66822EA8"/>
    <w:rsid w:val="668B6CBD"/>
    <w:rsid w:val="66953491"/>
    <w:rsid w:val="66980BF6"/>
    <w:rsid w:val="66983372"/>
    <w:rsid w:val="669C52CA"/>
    <w:rsid w:val="669F3BDF"/>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047E9"/>
    <w:rsid w:val="67024859"/>
    <w:rsid w:val="670469CD"/>
    <w:rsid w:val="67066C06"/>
    <w:rsid w:val="670673B0"/>
    <w:rsid w:val="670818F0"/>
    <w:rsid w:val="67092797"/>
    <w:rsid w:val="670E7B80"/>
    <w:rsid w:val="671043C8"/>
    <w:rsid w:val="6713591F"/>
    <w:rsid w:val="67157F47"/>
    <w:rsid w:val="67181932"/>
    <w:rsid w:val="67223341"/>
    <w:rsid w:val="6726232E"/>
    <w:rsid w:val="67283D40"/>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5F638F"/>
    <w:rsid w:val="68650339"/>
    <w:rsid w:val="68651915"/>
    <w:rsid w:val="68670AE1"/>
    <w:rsid w:val="686D4100"/>
    <w:rsid w:val="68733F18"/>
    <w:rsid w:val="687442EE"/>
    <w:rsid w:val="68772A56"/>
    <w:rsid w:val="687975D8"/>
    <w:rsid w:val="687C7996"/>
    <w:rsid w:val="687E1768"/>
    <w:rsid w:val="68873690"/>
    <w:rsid w:val="68931D28"/>
    <w:rsid w:val="689478DF"/>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0F96"/>
    <w:rsid w:val="693E13B7"/>
    <w:rsid w:val="69421566"/>
    <w:rsid w:val="69430240"/>
    <w:rsid w:val="694420C2"/>
    <w:rsid w:val="694A6D5C"/>
    <w:rsid w:val="694C7D2C"/>
    <w:rsid w:val="694D5CE0"/>
    <w:rsid w:val="695031E1"/>
    <w:rsid w:val="695048C2"/>
    <w:rsid w:val="6951205B"/>
    <w:rsid w:val="6953741D"/>
    <w:rsid w:val="69552B47"/>
    <w:rsid w:val="6956014F"/>
    <w:rsid w:val="695A0B28"/>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102C2"/>
    <w:rsid w:val="69992E3D"/>
    <w:rsid w:val="699F40EA"/>
    <w:rsid w:val="69A04061"/>
    <w:rsid w:val="69A43B52"/>
    <w:rsid w:val="69A71B52"/>
    <w:rsid w:val="69A7770D"/>
    <w:rsid w:val="69A966F8"/>
    <w:rsid w:val="69AC0B64"/>
    <w:rsid w:val="69AD48AF"/>
    <w:rsid w:val="69B12712"/>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A3A8C"/>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1D25"/>
    <w:rsid w:val="6BDE54AC"/>
    <w:rsid w:val="6BE068F6"/>
    <w:rsid w:val="6BE072B5"/>
    <w:rsid w:val="6BE25969"/>
    <w:rsid w:val="6BE40FB6"/>
    <w:rsid w:val="6BE83743"/>
    <w:rsid w:val="6BEA30F0"/>
    <w:rsid w:val="6BEA3CBA"/>
    <w:rsid w:val="6BEA5C11"/>
    <w:rsid w:val="6BEC52EB"/>
    <w:rsid w:val="6BEE2C86"/>
    <w:rsid w:val="6BEE37AA"/>
    <w:rsid w:val="6BEE5C0E"/>
    <w:rsid w:val="6BF229CE"/>
    <w:rsid w:val="6BF25C39"/>
    <w:rsid w:val="6BF84629"/>
    <w:rsid w:val="6BFC2657"/>
    <w:rsid w:val="6C044D7B"/>
    <w:rsid w:val="6C06150E"/>
    <w:rsid w:val="6C1407B4"/>
    <w:rsid w:val="6C150C0B"/>
    <w:rsid w:val="6C155F31"/>
    <w:rsid w:val="6C206E21"/>
    <w:rsid w:val="6C263A06"/>
    <w:rsid w:val="6C265F77"/>
    <w:rsid w:val="6C3A624E"/>
    <w:rsid w:val="6C3F4795"/>
    <w:rsid w:val="6C431738"/>
    <w:rsid w:val="6C442E2D"/>
    <w:rsid w:val="6C44786E"/>
    <w:rsid w:val="6C4B106D"/>
    <w:rsid w:val="6C505966"/>
    <w:rsid w:val="6C5775A1"/>
    <w:rsid w:val="6C5D04BB"/>
    <w:rsid w:val="6C624A50"/>
    <w:rsid w:val="6C65329A"/>
    <w:rsid w:val="6C663340"/>
    <w:rsid w:val="6C666C3C"/>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C448A"/>
    <w:rsid w:val="6CED284E"/>
    <w:rsid w:val="6CED3DB2"/>
    <w:rsid w:val="6CEE4A35"/>
    <w:rsid w:val="6CF04EB7"/>
    <w:rsid w:val="6CF17872"/>
    <w:rsid w:val="6CF76712"/>
    <w:rsid w:val="6CFD23D1"/>
    <w:rsid w:val="6D033EFD"/>
    <w:rsid w:val="6D0652BF"/>
    <w:rsid w:val="6D0A7734"/>
    <w:rsid w:val="6D0B0E35"/>
    <w:rsid w:val="6D0D210A"/>
    <w:rsid w:val="6D0D6D19"/>
    <w:rsid w:val="6D0D75B0"/>
    <w:rsid w:val="6D0E5786"/>
    <w:rsid w:val="6D12527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970A3"/>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2607D"/>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179F2"/>
    <w:rsid w:val="6F263789"/>
    <w:rsid w:val="6F28474F"/>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42A15"/>
    <w:rsid w:val="6F8D5088"/>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0C22"/>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57314"/>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73CA7"/>
    <w:rsid w:val="70385F59"/>
    <w:rsid w:val="70387A8F"/>
    <w:rsid w:val="703D085C"/>
    <w:rsid w:val="70423736"/>
    <w:rsid w:val="70494AF1"/>
    <w:rsid w:val="704A6916"/>
    <w:rsid w:val="7054528E"/>
    <w:rsid w:val="70555B90"/>
    <w:rsid w:val="705C5D99"/>
    <w:rsid w:val="705E76BE"/>
    <w:rsid w:val="70622071"/>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B3A9F"/>
    <w:rsid w:val="718B55F7"/>
    <w:rsid w:val="71936186"/>
    <w:rsid w:val="71947A7A"/>
    <w:rsid w:val="719C7804"/>
    <w:rsid w:val="71A535F8"/>
    <w:rsid w:val="71A5684D"/>
    <w:rsid w:val="71AE2BD5"/>
    <w:rsid w:val="71AF2F66"/>
    <w:rsid w:val="71B06996"/>
    <w:rsid w:val="71B0735B"/>
    <w:rsid w:val="71B31BCF"/>
    <w:rsid w:val="71B40CF8"/>
    <w:rsid w:val="71B52674"/>
    <w:rsid w:val="71BA3B1E"/>
    <w:rsid w:val="71BD004A"/>
    <w:rsid w:val="71C061A0"/>
    <w:rsid w:val="71C2301C"/>
    <w:rsid w:val="71C32FE3"/>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926D8"/>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055A"/>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15C82"/>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207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8217D"/>
    <w:rsid w:val="7554481F"/>
    <w:rsid w:val="75594581"/>
    <w:rsid w:val="755A35FA"/>
    <w:rsid w:val="755A5494"/>
    <w:rsid w:val="755D0BC4"/>
    <w:rsid w:val="75625A16"/>
    <w:rsid w:val="7564200E"/>
    <w:rsid w:val="75644ADD"/>
    <w:rsid w:val="75663FD1"/>
    <w:rsid w:val="75677137"/>
    <w:rsid w:val="756773CE"/>
    <w:rsid w:val="75696461"/>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B219A"/>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422DC5"/>
    <w:rsid w:val="7743723B"/>
    <w:rsid w:val="77451EB6"/>
    <w:rsid w:val="77490C6C"/>
    <w:rsid w:val="774B3934"/>
    <w:rsid w:val="774D0C35"/>
    <w:rsid w:val="774D47BD"/>
    <w:rsid w:val="7750356B"/>
    <w:rsid w:val="775352E9"/>
    <w:rsid w:val="77551F00"/>
    <w:rsid w:val="7758241F"/>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2564C"/>
    <w:rsid w:val="77847A56"/>
    <w:rsid w:val="77884DA5"/>
    <w:rsid w:val="778C50BD"/>
    <w:rsid w:val="778C5286"/>
    <w:rsid w:val="778F0D7D"/>
    <w:rsid w:val="778F49BD"/>
    <w:rsid w:val="77903967"/>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6B27"/>
    <w:rsid w:val="77D45F4A"/>
    <w:rsid w:val="77D47CF2"/>
    <w:rsid w:val="77D5581E"/>
    <w:rsid w:val="77E3726D"/>
    <w:rsid w:val="77E568E3"/>
    <w:rsid w:val="77E746B2"/>
    <w:rsid w:val="77E837A3"/>
    <w:rsid w:val="77EE19D2"/>
    <w:rsid w:val="77EF4577"/>
    <w:rsid w:val="77F008AA"/>
    <w:rsid w:val="77F62755"/>
    <w:rsid w:val="77F62779"/>
    <w:rsid w:val="77F82ED8"/>
    <w:rsid w:val="77F92249"/>
    <w:rsid w:val="77FE64CB"/>
    <w:rsid w:val="78036043"/>
    <w:rsid w:val="780F6F82"/>
    <w:rsid w:val="781164D0"/>
    <w:rsid w:val="78126A72"/>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F08D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A247F"/>
    <w:rsid w:val="795A5499"/>
    <w:rsid w:val="795C1D84"/>
    <w:rsid w:val="79607369"/>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D51B05"/>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23156"/>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75C03"/>
    <w:rsid w:val="7AE833BC"/>
    <w:rsid w:val="7AF34939"/>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C5A6F"/>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72F9B"/>
    <w:rsid w:val="7CDB38D7"/>
    <w:rsid w:val="7CDF394D"/>
    <w:rsid w:val="7CE014F4"/>
    <w:rsid w:val="7CE146B6"/>
    <w:rsid w:val="7CE65C11"/>
    <w:rsid w:val="7CE70935"/>
    <w:rsid w:val="7CE95686"/>
    <w:rsid w:val="7CED53B8"/>
    <w:rsid w:val="7CEF673A"/>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25161"/>
    <w:rsid w:val="7D8362BA"/>
    <w:rsid w:val="7D8835D1"/>
    <w:rsid w:val="7D885FC9"/>
    <w:rsid w:val="7D893A8E"/>
    <w:rsid w:val="7D8B7B1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43ED9"/>
    <w:rsid w:val="7E0866D3"/>
    <w:rsid w:val="7E104623"/>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50E39"/>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CB5E84"/>
    <w:rsid w:val="7FD10FC1"/>
    <w:rsid w:val="7FD277AE"/>
    <w:rsid w:val="7FD34D39"/>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5</Pages>
  <Words>1081</Words>
  <Characters>5535</Characters>
  <Lines>82</Lines>
  <Paragraphs>23</Paragraphs>
  <TotalTime>0</TotalTime>
  <ScaleCrop>false</ScaleCrop>
  <LinksUpToDate>false</LinksUpToDate>
  <CharactersWithSpaces>6592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2026-01-30T15:21:03Z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